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7"/>
          <w:szCs w:val="17"/>
          <w:b w:val="1"/>
          <w:bCs w:val="1"/>
          <w:color w:val="auto"/>
        </w:rPr>
        <w:t>UNITED STATES</w:t>
      </w:r>
    </w:p>
    <w:p>
      <w:pPr>
        <w:spacing w:after="0" w:line="18"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Washington, D.C. 20549</w:t>
      </w:r>
    </w:p>
    <w:p>
      <w:pPr>
        <w:spacing w:after="0" w:line="179"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FORM 10-Q</w:t>
      </w:r>
    </w:p>
    <w:p>
      <w:pPr>
        <w:spacing w:after="0" w:line="18" w:lineRule="exact"/>
        <w:rPr>
          <w:sz w:val="24"/>
          <w:szCs w:val="24"/>
          <w:color w:val="auto"/>
        </w:rPr>
      </w:pPr>
    </w:p>
    <w:p>
      <w:pPr>
        <w:spacing w:after="0"/>
        <w:rPr>
          <w:sz w:val="20"/>
          <w:szCs w:val="20"/>
          <w:color w:val="auto"/>
        </w:rPr>
      </w:pPr>
      <w:r>
        <w:rPr>
          <w:rFonts w:ascii="Arial" w:cs="Arial" w:eastAsia="Arial" w:hAnsi="Arial"/>
          <w:sz w:val="17"/>
          <w:szCs w:val="17"/>
          <w:color w:val="auto"/>
        </w:rPr>
        <w:t>(Mark One)</w:t>
      </w:r>
    </w:p>
    <w:p>
      <w:pPr>
        <w:spacing w:after="0" w:line="114" w:lineRule="exact"/>
        <w:rPr>
          <w:sz w:val="24"/>
          <w:szCs w:val="24"/>
          <w:color w:val="auto"/>
        </w:rPr>
      </w:pPr>
    </w:p>
    <w:p>
      <w:pPr>
        <w:ind w:left="1260" w:hanging="1166"/>
        <w:spacing w:after="0"/>
        <w:tabs>
          <w:tab w:leader="none" w:pos="1260" w:val="left"/>
        </w:tabs>
        <w:numPr>
          <w:ilvl w:val="0"/>
          <w:numId w:val="1"/>
        </w:numPr>
        <w:rPr>
          <w:rFonts w:ascii="MS PGothic" w:cs="MS PGothic" w:eastAsia="MS PGothic" w:hAnsi="MS PGothic"/>
          <w:sz w:val="16"/>
          <w:szCs w:val="16"/>
          <w:color w:val="auto"/>
        </w:rPr>
      </w:pPr>
      <w:r>
        <w:rPr>
          <w:rFonts w:ascii="Arial" w:cs="Arial" w:eastAsia="Arial" w:hAnsi="Arial"/>
          <w:sz w:val="16"/>
          <w:szCs w:val="16"/>
          <w:b w:val="1"/>
          <w:bCs w:val="1"/>
          <w:color w:val="auto"/>
        </w:rPr>
        <w:t>QUARTERLY REPORT PURSUANT TO SECTION 13 OR 15(d) OF THE SECURITIES EXCHANGE ACT OF 1934</w:t>
      </w:r>
    </w:p>
    <w:p>
      <w:pPr>
        <w:spacing w:after="0" w:line="286"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For the quarterly period ended September 30, 2021</w:t>
      </w:r>
    </w:p>
    <w:p>
      <w:pPr>
        <w:spacing w:after="0" w:line="18" w:lineRule="exact"/>
        <w:rPr>
          <w:sz w:val="24"/>
          <w:szCs w:val="24"/>
          <w:color w:val="auto"/>
        </w:rPr>
      </w:pPr>
    </w:p>
    <w:p>
      <w:pPr>
        <w:jc w:val="center"/>
        <w:ind w:right="-19"/>
        <w:spacing w:after="0"/>
        <w:rPr>
          <w:sz w:val="20"/>
          <w:szCs w:val="20"/>
          <w:color w:val="auto"/>
        </w:rPr>
      </w:pPr>
      <w:r>
        <w:rPr>
          <w:rFonts w:ascii="Arial" w:cs="Arial" w:eastAsia="Arial" w:hAnsi="Arial"/>
          <w:sz w:val="17"/>
          <w:szCs w:val="17"/>
          <w:color w:val="auto"/>
        </w:rPr>
        <w:t>or</w:t>
      </w:r>
    </w:p>
    <w:p>
      <w:pPr>
        <w:spacing w:after="0" w:line="114" w:lineRule="exact"/>
        <w:rPr>
          <w:sz w:val="24"/>
          <w:szCs w:val="24"/>
          <w:color w:val="auto"/>
        </w:rPr>
      </w:pPr>
    </w:p>
    <w:p>
      <w:pPr>
        <w:ind w:left="1260" w:hanging="1166"/>
        <w:spacing w:after="0"/>
        <w:tabs>
          <w:tab w:leader="none" w:pos="1260" w:val="left"/>
        </w:tabs>
        <w:numPr>
          <w:ilvl w:val="0"/>
          <w:numId w:val="2"/>
        </w:numPr>
        <w:rPr>
          <w:rFonts w:ascii="MS PGothic" w:cs="MS PGothic" w:eastAsia="MS PGothic" w:hAnsi="MS PGothic"/>
          <w:sz w:val="16"/>
          <w:szCs w:val="16"/>
          <w:color w:val="auto"/>
        </w:rPr>
      </w:pPr>
      <w:r>
        <w:rPr>
          <w:rFonts w:ascii="Arial" w:cs="Arial" w:eastAsia="Arial" w:hAnsi="Arial"/>
          <w:sz w:val="16"/>
          <w:szCs w:val="16"/>
          <w:b w:val="1"/>
          <w:bCs w:val="1"/>
          <w:color w:val="auto"/>
        </w:rPr>
        <w:t>TRANSITION REPORT PURSUANT TO SECTION 13 OR 15(d) OF THE SECURITIES EXCHANGE ACT OF 1934</w:t>
      </w:r>
    </w:p>
    <w:p>
      <w:pPr>
        <w:spacing w:after="0" w:line="200" w:lineRule="exact"/>
        <w:rPr>
          <w:sz w:val="24"/>
          <w:szCs w:val="24"/>
          <w:color w:val="auto"/>
        </w:rPr>
      </w:pPr>
    </w:p>
    <w:p>
      <w:pPr>
        <w:spacing w:after="0" w:line="260" w:lineRule="exact"/>
        <w:rPr>
          <w:sz w:val="24"/>
          <w:szCs w:val="24"/>
          <w:color w:val="auto"/>
        </w:rPr>
      </w:pPr>
    </w:p>
    <w:p>
      <w:pPr>
        <w:ind w:left="3880"/>
        <w:spacing w:after="0"/>
        <w:tabs>
          <w:tab w:leader="none" w:pos="6560" w:val="left"/>
        </w:tabs>
        <w:rPr>
          <w:sz w:val="20"/>
          <w:szCs w:val="20"/>
          <w:color w:val="auto"/>
        </w:rPr>
      </w:pPr>
      <w:r>
        <w:rPr>
          <w:rFonts w:ascii="Arial" w:cs="Arial" w:eastAsia="Arial" w:hAnsi="Arial"/>
          <w:sz w:val="17"/>
          <w:szCs w:val="17"/>
          <w:color w:val="auto"/>
        </w:rPr>
        <w:t>For the transition period from</w:t>
      </w:r>
      <w:r>
        <w:rPr>
          <w:sz w:val="20"/>
          <w:szCs w:val="20"/>
          <w:color w:val="auto"/>
        </w:rPr>
        <w:tab/>
      </w:r>
      <w:r>
        <w:rPr>
          <w:rFonts w:ascii="Arial" w:cs="Arial" w:eastAsia="Arial" w:hAnsi="Arial"/>
          <w:sz w:val="16"/>
          <w:szCs w:val="16"/>
          <w:color w:val="auto"/>
        </w:rPr>
        <w:t>to</w:t>
      </w:r>
    </w:p>
    <w:p>
      <w:pPr>
        <w:spacing w:after="0" w:line="236" w:lineRule="exact"/>
        <w:rPr>
          <w:sz w:val="24"/>
          <w:szCs w:val="24"/>
          <w:color w:val="auto"/>
        </w:rPr>
      </w:pPr>
    </w:p>
    <w:p>
      <w:pPr>
        <w:jc w:val="center"/>
        <w:ind w:right="20"/>
        <w:spacing w:after="0"/>
        <w:rPr>
          <w:sz w:val="20"/>
          <w:szCs w:val="20"/>
          <w:color w:val="auto"/>
        </w:rPr>
      </w:pPr>
      <w:r>
        <w:rPr>
          <w:rFonts w:ascii="Arial" w:cs="Arial" w:eastAsia="Arial" w:hAnsi="Arial"/>
          <w:sz w:val="17"/>
          <w:szCs w:val="17"/>
          <w:color w:val="auto"/>
        </w:rPr>
        <w:t>Commission file number 001-33117</w:t>
      </w:r>
    </w:p>
    <w:p>
      <w:pPr>
        <w:spacing w:after="0" w:line="153"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18" w:lineRule="exact"/>
        <w:rPr>
          <w:sz w:val="24"/>
          <w:szCs w:val="24"/>
          <w:color w:val="auto"/>
        </w:rPr>
      </w:pPr>
    </w:p>
    <w:p>
      <w:pPr>
        <w:jc w:val="center"/>
        <w:ind w:right="-19"/>
        <w:spacing w:after="0"/>
        <w:rPr>
          <w:sz w:val="20"/>
          <w:szCs w:val="20"/>
          <w:color w:val="auto"/>
        </w:rPr>
      </w:pPr>
      <w:r>
        <w:rPr>
          <w:rFonts w:ascii="Arial" w:cs="Arial" w:eastAsia="Arial" w:hAnsi="Arial"/>
          <w:sz w:val="17"/>
          <w:szCs w:val="17"/>
          <w:color w:val="auto"/>
        </w:rPr>
        <w:t>(Exact Name of Registrant as Specified in Its Charter)</w:t>
      </w:r>
    </w:p>
    <w:p>
      <w:pPr>
        <w:sectPr>
          <w:pgSz w:w="11900" w:h="16838" w:orient="portrait"/>
          <w:cols w:equalWidth="0" w:num="1">
            <w:col w:w="11240"/>
          </w:cols>
          <w:pgMar w:left="320" w:top="967" w:right="339" w:bottom="1440" w:gutter="0" w:footer="0" w:header="0"/>
        </w:sectPr>
      </w:pPr>
    </w:p>
    <w:p>
      <w:pPr>
        <w:spacing w:after="0" w:line="101" w:lineRule="exact"/>
        <w:rPr>
          <w:sz w:val="24"/>
          <w:szCs w:val="24"/>
          <w:color w:val="auto"/>
        </w:rPr>
      </w:pPr>
    </w:p>
    <w:p>
      <w:pPr>
        <w:ind w:left="2360"/>
        <w:spacing w:after="0"/>
        <w:rPr>
          <w:sz w:val="20"/>
          <w:szCs w:val="20"/>
          <w:color w:val="auto"/>
        </w:rPr>
      </w:pPr>
      <w:r>
        <w:rPr>
          <w:rFonts w:ascii="Arial" w:cs="Arial" w:eastAsia="Arial" w:hAnsi="Arial"/>
          <w:sz w:val="14"/>
          <w:szCs w:val="14"/>
          <w:b w:val="1"/>
          <w:bCs w:val="1"/>
          <w:color w:val="auto"/>
        </w:rPr>
        <w:t>Delaware</w:t>
      </w:r>
    </w:p>
    <w:p>
      <w:pPr>
        <w:spacing w:after="0" w:line="20" w:lineRule="exact"/>
        <w:rPr>
          <w:sz w:val="24"/>
          <w:szCs w:val="24"/>
          <w:color w:val="auto"/>
        </w:rPr>
      </w:pPr>
      <w:r>
        <w:rPr>
          <w:sz w:val="24"/>
          <w:szCs w:val="24"/>
          <w:color w:val="auto"/>
        </w:rPr>
        <w:br w:type="column"/>
      </w:r>
    </w:p>
    <w:p>
      <w:pPr>
        <w:spacing w:after="0" w:line="81"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41-2116508</w:t>
      </w:r>
    </w:p>
    <w:p>
      <w:pPr>
        <w:spacing w:after="0" w:line="52" w:lineRule="exact"/>
        <w:rPr>
          <w:sz w:val="24"/>
          <w:szCs w:val="24"/>
          <w:color w:val="auto"/>
        </w:rPr>
      </w:pPr>
    </w:p>
    <w:p>
      <w:pPr>
        <w:sectPr>
          <w:pgSz w:w="11900" w:h="16838" w:orient="portrait"/>
          <w:cols w:equalWidth="0" w:num="2">
            <w:col w:w="7380" w:space="720"/>
            <w:col w:w="3140"/>
          </w:cols>
          <w:pgMar w:left="320" w:top="967" w:right="339" w:bottom="1440" w:gutter="0" w:footer="0" w:header="0"/>
          <w:type w:val="continuous"/>
        </w:sectPr>
      </w:pPr>
    </w:p>
    <w:p>
      <w:pPr>
        <w:ind w:left="1700"/>
        <w:spacing w:after="0"/>
        <w:rPr>
          <w:sz w:val="20"/>
          <w:szCs w:val="20"/>
          <w:color w:val="auto"/>
        </w:rPr>
      </w:pPr>
      <w:r>
        <w:rPr>
          <w:rFonts w:ascii="Arial" w:cs="Arial" w:eastAsia="Arial" w:hAnsi="Arial"/>
          <w:sz w:val="14"/>
          <w:szCs w:val="14"/>
          <w:color w:val="auto"/>
        </w:rPr>
        <w:t>(State or Other Jurisdiction of</w:t>
      </w:r>
    </w:p>
    <w:p>
      <w:pPr>
        <w:spacing w:after="0" w:line="48" w:lineRule="exact"/>
        <w:rPr>
          <w:sz w:val="24"/>
          <w:szCs w:val="24"/>
          <w:color w:val="auto"/>
        </w:rPr>
      </w:pPr>
    </w:p>
    <w:p>
      <w:pPr>
        <w:ind w:left="1680"/>
        <w:spacing w:after="0"/>
        <w:rPr>
          <w:sz w:val="20"/>
          <w:szCs w:val="20"/>
          <w:color w:val="auto"/>
        </w:rPr>
      </w:pPr>
      <w:r>
        <w:rPr>
          <w:rFonts w:ascii="Arial" w:cs="Arial" w:eastAsia="Arial" w:hAnsi="Arial"/>
          <w:sz w:val="14"/>
          <w:szCs w:val="14"/>
          <w:color w:val="auto"/>
        </w:rPr>
        <w:t>Incorporation or Organization)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(I.R.S. Employer Identification No.)</w:t>
      </w:r>
    </w:p>
    <w:p>
      <w:pPr>
        <w:spacing w:after="0" w:line="409" w:lineRule="exact"/>
        <w:rPr>
          <w:sz w:val="24"/>
          <w:szCs w:val="24"/>
          <w:color w:val="auto"/>
        </w:rPr>
      </w:pPr>
    </w:p>
    <w:p>
      <w:pPr>
        <w:sectPr>
          <w:pgSz w:w="11900" w:h="16838" w:orient="portrait"/>
          <w:cols w:equalWidth="0" w:num="2">
            <w:col w:w="6580" w:space="720"/>
            <w:col w:w="3940"/>
          </w:cols>
          <w:pgMar w:left="320" w:top="967" w:right="339" w:bottom="1440" w:gutter="0" w:footer="0" w:header="0"/>
          <w:type w:val="continuous"/>
        </w:sectPr>
      </w:pPr>
    </w:p>
    <w:p>
      <w:pPr>
        <w:spacing w:after="0" w:line="118"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1351 Holiday Square Blvd.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Covington, Louisiana 70433</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(Address of Principal Executive Offices)</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 xml:space="preserve">Registrant's Telephone Number, Including Area Code: </w:t>
      </w:r>
      <w:r>
        <w:rPr>
          <w:rFonts w:ascii="Arial" w:cs="Arial" w:eastAsia="Arial" w:hAnsi="Arial"/>
          <w:sz w:val="14"/>
          <w:szCs w:val="14"/>
          <w:b w:val="1"/>
          <w:bCs w:val="1"/>
          <w:color w:val="auto"/>
        </w:rPr>
        <w:t>(985) 335-1500</w:t>
      </w:r>
    </w:p>
    <w:p>
      <w:pPr>
        <w:spacing w:after="0" w:line="152" w:lineRule="exact"/>
        <w:rPr>
          <w:sz w:val="24"/>
          <w:szCs w:val="24"/>
          <w:color w:val="auto"/>
        </w:rPr>
      </w:pPr>
    </w:p>
    <w:p>
      <w:pPr>
        <w:jc w:val="center"/>
        <w:ind w:right="7540"/>
        <w:spacing w:after="0"/>
        <w:rPr>
          <w:sz w:val="20"/>
          <w:szCs w:val="20"/>
          <w:color w:val="auto"/>
        </w:rPr>
      </w:pPr>
      <w:r>
        <w:rPr>
          <w:rFonts w:ascii="Arial" w:cs="Arial" w:eastAsia="Arial" w:hAnsi="Arial"/>
          <w:sz w:val="14"/>
          <w:szCs w:val="14"/>
          <w:color w:val="auto"/>
        </w:rPr>
        <w:t>Securities registered pursuant to section 12(b) of the</w:t>
      </w:r>
    </w:p>
    <w:p>
      <w:pPr>
        <w:spacing w:after="0" w:line="10" w:lineRule="exact"/>
        <w:rPr>
          <w:sz w:val="24"/>
          <w:szCs w:val="24"/>
          <w:color w:val="auto"/>
        </w:rPr>
      </w:pPr>
    </w:p>
    <w:p>
      <w:pPr>
        <w:jc w:val="center"/>
        <w:ind w:right="7540"/>
        <w:spacing w:after="0"/>
        <w:rPr>
          <w:sz w:val="20"/>
          <w:szCs w:val="20"/>
          <w:color w:val="auto"/>
        </w:rPr>
      </w:pPr>
      <w:r>
        <w:rPr>
          <w:rFonts w:ascii="Arial" w:cs="Arial" w:eastAsia="Arial" w:hAnsi="Arial"/>
          <w:sz w:val="17"/>
          <w:szCs w:val="17"/>
          <w:color w:val="auto"/>
        </w:rPr>
        <w:t>Act:</w:t>
      </w:r>
    </w:p>
    <w:p>
      <w:pPr>
        <w:sectPr>
          <w:pgSz w:w="11900" w:h="16838" w:orient="portrait"/>
          <w:cols w:equalWidth="0" w:num="1">
            <w:col w:w="11240"/>
          </w:cols>
          <w:pgMar w:left="320" w:top="967" w:right="339" w:bottom="1440" w:gutter="0" w:footer="0" w:header="0"/>
          <w:type w:val="continuous"/>
        </w:sectPr>
      </w:pPr>
    </w:p>
    <w:p>
      <w:pPr>
        <w:jc w:val="center"/>
        <w:ind w:right="680"/>
        <w:spacing w:after="0"/>
        <w:rPr>
          <w:sz w:val="20"/>
          <w:szCs w:val="20"/>
          <w:color w:val="auto"/>
        </w:rPr>
      </w:pPr>
      <w:r>
        <w:rPr>
          <w:rFonts w:ascii="Arial" w:cs="Arial" w:eastAsia="Arial" w:hAnsi="Arial"/>
          <w:sz w:val="17"/>
          <w:szCs w:val="17"/>
          <w:color w:val="auto"/>
        </w:rPr>
        <w:t>Title of each class</w:t>
      </w:r>
    </w:p>
    <w:p>
      <w:pPr>
        <w:spacing w:after="0" w:line="14" w:lineRule="exact"/>
        <w:rPr>
          <w:sz w:val="24"/>
          <w:szCs w:val="24"/>
          <w:color w:val="auto"/>
        </w:rPr>
      </w:pPr>
    </w:p>
    <w:p>
      <w:pPr>
        <w:jc w:val="center"/>
        <w:ind w:right="680"/>
        <w:spacing w:after="0"/>
        <w:rPr>
          <w:sz w:val="20"/>
          <w:szCs w:val="20"/>
          <w:color w:val="auto"/>
        </w:rPr>
      </w:pPr>
      <w:r>
        <w:rPr>
          <w:rFonts w:ascii="Arial" w:cs="Arial" w:eastAsia="Arial" w:hAnsi="Arial"/>
          <w:sz w:val="14"/>
          <w:szCs w:val="14"/>
          <w:b w:val="1"/>
          <w:bCs w:val="1"/>
          <w:color w:val="auto"/>
        </w:rPr>
        <w:t>Common Stock, par value $0.0001 per share</w:t>
      </w:r>
    </w:p>
    <w:p>
      <w:pPr>
        <w:spacing w:after="0" w:line="20" w:lineRule="exact"/>
        <w:rPr>
          <w:sz w:val="24"/>
          <w:szCs w:val="24"/>
          <w:color w:val="auto"/>
        </w:rPr>
      </w:pPr>
      <w:r>
        <w:rPr>
          <w:sz w:val="24"/>
          <w:szCs w:val="24"/>
          <w:color w:val="auto"/>
        </w:rPr>
        <w:br w:type="column"/>
      </w:r>
    </w:p>
    <w:p>
      <w:pPr>
        <w:jc w:val="center"/>
        <w:ind w:right="1240"/>
        <w:spacing w:after="0"/>
        <w:rPr>
          <w:sz w:val="20"/>
          <w:szCs w:val="20"/>
          <w:color w:val="auto"/>
        </w:rPr>
      </w:pPr>
      <w:r>
        <w:rPr>
          <w:rFonts w:ascii="Arial" w:cs="Arial" w:eastAsia="Arial" w:hAnsi="Arial"/>
          <w:sz w:val="14"/>
          <w:szCs w:val="14"/>
          <w:color w:val="auto"/>
        </w:rPr>
        <w:t>Trading Symbol</w:t>
      </w:r>
    </w:p>
    <w:p>
      <w:pPr>
        <w:spacing w:after="0" w:line="48" w:lineRule="exact"/>
        <w:rPr>
          <w:sz w:val="24"/>
          <w:szCs w:val="24"/>
          <w:color w:val="auto"/>
        </w:rPr>
      </w:pPr>
    </w:p>
    <w:p>
      <w:pPr>
        <w:jc w:val="center"/>
        <w:ind w:right="1240"/>
        <w:spacing w:after="0"/>
        <w:rPr>
          <w:sz w:val="20"/>
          <w:szCs w:val="20"/>
          <w:color w:val="auto"/>
        </w:rPr>
      </w:pPr>
      <w:r>
        <w:rPr>
          <w:rFonts w:ascii="Arial" w:cs="Arial" w:eastAsia="Arial" w:hAnsi="Arial"/>
          <w:sz w:val="17"/>
          <w:szCs w:val="17"/>
          <w:b w:val="1"/>
          <w:bCs w:val="1"/>
          <w:color w:val="auto"/>
        </w:rPr>
        <w:t>GSAT</w:t>
      </w:r>
    </w:p>
    <w:p>
      <w:pPr>
        <w:spacing w:after="0" w:line="20" w:lineRule="exact"/>
        <w:rPr>
          <w:sz w:val="24"/>
          <w:szCs w:val="24"/>
          <w:color w:val="auto"/>
        </w:rPr>
      </w:pPr>
      <w:r>
        <w:rPr>
          <w:sz w:val="24"/>
          <w:szCs w:val="24"/>
          <w:color w:val="auto"/>
        </w:rPr>
        <w:br w:type="column"/>
      </w:r>
    </w:p>
    <w:p>
      <w:pPr>
        <w:jc w:val="center"/>
        <w:ind w:right="560"/>
        <w:spacing w:after="0"/>
        <w:rPr>
          <w:sz w:val="20"/>
          <w:szCs w:val="20"/>
          <w:color w:val="auto"/>
        </w:rPr>
      </w:pPr>
      <w:r>
        <w:rPr>
          <w:rFonts w:ascii="Arial" w:cs="Arial" w:eastAsia="Arial" w:hAnsi="Arial"/>
          <w:sz w:val="14"/>
          <w:szCs w:val="14"/>
          <w:color w:val="auto"/>
        </w:rPr>
        <w:t>Name of exchange on which registered</w:t>
      </w:r>
    </w:p>
    <w:p>
      <w:pPr>
        <w:spacing w:after="0" w:line="48" w:lineRule="exact"/>
        <w:rPr>
          <w:sz w:val="24"/>
          <w:szCs w:val="24"/>
          <w:color w:val="auto"/>
        </w:rPr>
      </w:pPr>
    </w:p>
    <w:p>
      <w:pPr>
        <w:jc w:val="center"/>
        <w:ind w:right="560"/>
        <w:spacing w:after="0"/>
        <w:rPr>
          <w:sz w:val="20"/>
          <w:szCs w:val="20"/>
          <w:color w:val="auto"/>
        </w:rPr>
      </w:pPr>
      <w:r>
        <w:rPr>
          <w:rFonts w:ascii="Arial" w:cs="Arial" w:eastAsia="Arial" w:hAnsi="Arial"/>
          <w:sz w:val="17"/>
          <w:szCs w:val="17"/>
          <w:b w:val="1"/>
          <w:bCs w:val="1"/>
          <w:color w:val="auto"/>
        </w:rPr>
        <w:t>NYSE American</w:t>
      </w:r>
    </w:p>
    <w:p>
      <w:pPr>
        <w:spacing w:after="0" w:line="79" w:lineRule="exact"/>
        <w:rPr>
          <w:sz w:val="24"/>
          <w:szCs w:val="24"/>
          <w:color w:val="auto"/>
        </w:rPr>
      </w:pPr>
    </w:p>
    <w:p>
      <w:pPr>
        <w:sectPr>
          <w:pgSz w:w="11900" w:h="16838" w:orient="portrait"/>
          <w:cols w:equalWidth="0" w:num="3">
            <w:col w:w="4360" w:space="720"/>
            <w:col w:w="2300" w:space="720"/>
            <w:col w:w="3140"/>
          </w:cols>
          <w:pgMar w:left="320" w:top="967" w:right="339" w:bottom="1440" w:gutter="0" w:footer="0" w:header="0"/>
          <w:type w:val="continuous"/>
        </w:sectPr>
      </w:pPr>
    </w:p>
    <w:p>
      <w:pPr>
        <w:jc w:val="both"/>
        <w:ind w:right="160" w:firstLine="235"/>
        <w:spacing w:after="0" w:line="207" w:lineRule="exact"/>
        <w:rPr>
          <w:sz w:val="20"/>
          <w:szCs w:val="20"/>
          <w:color w:val="auto"/>
        </w:rPr>
      </w:pPr>
      <w:r>
        <w:rPr>
          <w:rFonts w:ascii="Arial" w:cs="Arial" w:eastAsia="Arial" w:hAnsi="Arial"/>
          <w:sz w:val="17"/>
          <w:szCs w:val="17"/>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w:t>
      </w:r>
      <w:r>
        <w:rPr>
          <w:rFonts w:ascii="MS PGothic" w:cs="MS PGothic" w:eastAsia="MS PGothic" w:hAnsi="MS PGothic"/>
          <w:sz w:val="17"/>
          <w:szCs w:val="17"/>
          <w:color w:val="auto"/>
        </w:rPr>
        <w:t>☐</w:t>
      </w:r>
    </w:p>
    <w:p>
      <w:pPr>
        <w:spacing w:after="0" w:line="163" w:lineRule="exact"/>
        <w:rPr>
          <w:sz w:val="24"/>
          <w:szCs w:val="24"/>
          <w:color w:val="auto"/>
        </w:rPr>
      </w:pPr>
    </w:p>
    <w:p>
      <w:pPr>
        <w:ind w:right="60" w:firstLine="235"/>
        <w:spacing w:after="0" w:line="213"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x No </w:t>
      </w:r>
      <w:r>
        <w:rPr>
          <w:rFonts w:ascii="MS PGothic" w:cs="MS PGothic" w:eastAsia="MS PGothic" w:hAnsi="MS PGothic"/>
          <w:sz w:val="14"/>
          <w:szCs w:val="14"/>
          <w:color w:val="auto"/>
        </w:rPr>
        <w:t>☐</w:t>
      </w:r>
    </w:p>
    <w:p>
      <w:pPr>
        <w:spacing w:after="0" w:line="163" w:lineRule="exact"/>
        <w:rPr>
          <w:sz w:val="24"/>
          <w:szCs w:val="24"/>
          <w:color w:val="auto"/>
        </w:rPr>
      </w:pPr>
    </w:p>
    <w:p>
      <w:pPr>
        <w:ind w:right="100" w:firstLine="235"/>
        <w:spacing w:after="0" w:line="249"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80" w:lineRule="exact"/>
        <w:rPr>
          <w:sz w:val="24"/>
          <w:szCs w:val="24"/>
          <w:color w:val="auto"/>
        </w:rPr>
      </w:pPr>
    </w:p>
    <w:tbl>
      <w:tblPr>
        <w:tblLayout w:type="fixed"/>
        <w:tblInd w:w="760" w:type="dxa"/>
        <w:tblCellMar>
          <w:top w:w="0" w:type="dxa"/>
          <w:left w:w="0" w:type="dxa"/>
          <w:bottom w:w="0" w:type="dxa"/>
          <w:right w:w="0" w:type="dxa"/>
        </w:tblCellMar>
      </w:tblPr>
      <w:tr>
        <w:trPr>
          <w:trHeight w:val="209"/>
        </w:trPr>
        <w:tc>
          <w:tcPr>
            <w:tcW w:w="3480" w:type="dxa"/>
            <w:vAlign w:val="bottom"/>
          </w:tcPr>
          <w:p>
            <w:pPr>
              <w:jc w:val="center"/>
              <w:ind w:right="317"/>
              <w:spacing w:after="0"/>
              <w:rPr>
                <w:sz w:val="20"/>
                <w:szCs w:val="20"/>
                <w:color w:val="auto"/>
              </w:rPr>
            </w:pPr>
            <w:r>
              <w:rPr>
                <w:rFonts w:ascii="Arial" w:cs="Arial" w:eastAsia="Arial" w:hAnsi="Arial"/>
                <w:sz w:val="17"/>
                <w:szCs w:val="17"/>
                <w:color w:val="auto"/>
                <w:w w:val="87"/>
              </w:rPr>
              <w:t>Large accelerated filer</w:t>
            </w:r>
          </w:p>
        </w:tc>
        <w:tc>
          <w:tcPr>
            <w:tcW w:w="1800" w:type="dxa"/>
            <w:vAlign w:val="bottom"/>
          </w:tcPr>
          <w:p>
            <w:pPr>
              <w:ind w:left="420"/>
              <w:spacing w:after="0" w:line="171" w:lineRule="exact"/>
              <w:rPr>
                <w:sz w:val="20"/>
                <w:szCs w:val="20"/>
                <w:color w:val="auto"/>
              </w:rPr>
            </w:pPr>
            <w:r>
              <w:rPr>
                <w:rFonts w:ascii="MS PGothic" w:cs="MS PGothic" w:eastAsia="MS PGothic" w:hAnsi="MS PGothic"/>
                <w:sz w:val="17"/>
                <w:szCs w:val="17"/>
                <w:color w:val="auto"/>
              </w:rPr>
              <w:t>☐</w:t>
            </w:r>
          </w:p>
        </w:tc>
        <w:tc>
          <w:tcPr>
            <w:tcW w:w="3520" w:type="dxa"/>
            <w:vAlign w:val="bottom"/>
          </w:tcPr>
          <w:p>
            <w:pPr>
              <w:jc w:val="center"/>
              <w:ind w:left="677"/>
              <w:spacing w:after="0"/>
              <w:rPr>
                <w:sz w:val="20"/>
                <w:szCs w:val="20"/>
                <w:color w:val="auto"/>
              </w:rPr>
            </w:pPr>
            <w:r>
              <w:rPr>
                <w:rFonts w:ascii="Arial" w:cs="Arial" w:eastAsia="Arial" w:hAnsi="Arial"/>
                <w:sz w:val="17"/>
                <w:szCs w:val="17"/>
                <w:color w:val="auto"/>
                <w:w w:val="91"/>
              </w:rPr>
              <w:t>Accelerated filer</w:t>
            </w:r>
          </w:p>
        </w:tc>
        <w:tc>
          <w:tcPr>
            <w:tcW w:w="620" w:type="dxa"/>
            <w:vAlign w:val="bottom"/>
          </w:tcPr>
          <w:p>
            <w:pPr>
              <w:ind w:left="460"/>
              <w:spacing w:after="0" w:line="171" w:lineRule="exact"/>
              <w:rPr>
                <w:sz w:val="20"/>
                <w:szCs w:val="20"/>
                <w:color w:val="auto"/>
              </w:rPr>
            </w:pPr>
            <w:r>
              <w:rPr>
                <w:rFonts w:ascii="MS PGothic" w:cs="MS PGothic" w:eastAsia="MS PGothic" w:hAnsi="MS PGothic"/>
                <w:sz w:val="17"/>
                <w:szCs w:val="17"/>
                <w:color w:val="auto"/>
                <w:w w:val="82"/>
              </w:rPr>
              <w:t>☒</w:t>
            </w:r>
          </w:p>
        </w:tc>
      </w:tr>
      <w:tr>
        <w:trPr>
          <w:trHeight w:val="209"/>
        </w:trPr>
        <w:tc>
          <w:tcPr>
            <w:tcW w:w="3480" w:type="dxa"/>
            <w:vAlign w:val="bottom"/>
          </w:tcPr>
          <w:p>
            <w:pPr>
              <w:jc w:val="center"/>
              <w:ind w:right="317"/>
              <w:spacing w:after="0"/>
              <w:rPr>
                <w:sz w:val="20"/>
                <w:szCs w:val="20"/>
                <w:color w:val="auto"/>
              </w:rPr>
            </w:pPr>
            <w:r>
              <w:rPr>
                <w:rFonts w:ascii="Arial" w:cs="Arial" w:eastAsia="Arial" w:hAnsi="Arial"/>
                <w:sz w:val="17"/>
                <w:szCs w:val="17"/>
                <w:color w:val="auto"/>
                <w:w w:val="89"/>
              </w:rPr>
              <w:t>Non-accelerated filer</w:t>
            </w:r>
          </w:p>
        </w:tc>
        <w:tc>
          <w:tcPr>
            <w:tcW w:w="1800" w:type="dxa"/>
            <w:vAlign w:val="bottom"/>
          </w:tcPr>
          <w:p>
            <w:pPr>
              <w:ind w:left="420"/>
              <w:spacing w:after="0" w:line="171" w:lineRule="exact"/>
              <w:rPr>
                <w:sz w:val="20"/>
                <w:szCs w:val="20"/>
                <w:color w:val="auto"/>
              </w:rPr>
            </w:pPr>
            <w:r>
              <w:rPr>
                <w:rFonts w:ascii="MS PGothic" w:cs="MS PGothic" w:eastAsia="MS PGothic" w:hAnsi="MS PGothic"/>
                <w:sz w:val="17"/>
                <w:szCs w:val="17"/>
                <w:color w:val="auto"/>
              </w:rPr>
              <w:t>☐</w:t>
            </w:r>
          </w:p>
        </w:tc>
        <w:tc>
          <w:tcPr>
            <w:tcW w:w="3520" w:type="dxa"/>
            <w:vAlign w:val="bottom"/>
          </w:tcPr>
          <w:p>
            <w:pPr>
              <w:jc w:val="center"/>
              <w:ind w:left="677"/>
              <w:spacing w:after="0"/>
              <w:rPr>
                <w:sz w:val="20"/>
                <w:szCs w:val="20"/>
                <w:color w:val="auto"/>
              </w:rPr>
            </w:pPr>
            <w:r>
              <w:rPr>
                <w:rFonts w:ascii="Arial" w:cs="Arial" w:eastAsia="Arial" w:hAnsi="Arial"/>
                <w:sz w:val="17"/>
                <w:szCs w:val="17"/>
                <w:color w:val="auto"/>
                <w:w w:val="88"/>
              </w:rPr>
              <w:t>Smaller reporting company</w:t>
            </w:r>
          </w:p>
        </w:tc>
        <w:tc>
          <w:tcPr>
            <w:tcW w:w="620" w:type="dxa"/>
            <w:vAlign w:val="bottom"/>
          </w:tcPr>
          <w:p>
            <w:pPr>
              <w:ind w:left="460"/>
              <w:spacing w:after="0" w:line="171" w:lineRule="exact"/>
              <w:rPr>
                <w:sz w:val="20"/>
                <w:szCs w:val="20"/>
                <w:color w:val="auto"/>
              </w:rPr>
            </w:pPr>
            <w:r>
              <w:rPr>
                <w:rFonts w:ascii="MS PGothic" w:cs="MS PGothic" w:eastAsia="MS PGothic" w:hAnsi="MS PGothic"/>
                <w:sz w:val="17"/>
                <w:szCs w:val="17"/>
                <w:color w:val="auto"/>
                <w:w w:val="82"/>
              </w:rPr>
              <w:t>☐</w:t>
            </w:r>
          </w:p>
        </w:tc>
      </w:tr>
      <w:tr>
        <w:trPr>
          <w:trHeight w:val="260"/>
        </w:trPr>
        <w:tc>
          <w:tcPr>
            <w:tcW w:w="3480" w:type="dxa"/>
            <w:vAlign w:val="bottom"/>
          </w:tcPr>
          <w:p>
            <w:pPr>
              <w:jc w:val="center"/>
              <w:ind w:right="317"/>
              <w:spacing w:after="0"/>
              <w:rPr>
                <w:sz w:val="20"/>
                <w:szCs w:val="20"/>
                <w:color w:val="auto"/>
              </w:rPr>
            </w:pPr>
            <w:r>
              <w:rPr>
                <w:rFonts w:ascii="Arial" w:cs="Arial" w:eastAsia="Arial" w:hAnsi="Arial"/>
                <w:sz w:val="17"/>
                <w:szCs w:val="17"/>
                <w:color w:val="auto"/>
                <w:w w:val="89"/>
              </w:rPr>
              <w:t>(Do not check if a smaller reporting company)</w:t>
            </w:r>
          </w:p>
        </w:tc>
        <w:tc>
          <w:tcPr>
            <w:tcW w:w="1800" w:type="dxa"/>
            <w:vAlign w:val="bottom"/>
          </w:tcPr>
          <w:p>
            <w:pPr>
              <w:spacing w:after="0"/>
              <w:rPr>
                <w:sz w:val="22"/>
                <w:szCs w:val="22"/>
                <w:color w:val="auto"/>
              </w:rPr>
            </w:pPr>
          </w:p>
        </w:tc>
        <w:tc>
          <w:tcPr>
            <w:tcW w:w="3520" w:type="dxa"/>
            <w:vAlign w:val="bottom"/>
          </w:tcPr>
          <w:p>
            <w:pPr>
              <w:jc w:val="center"/>
              <w:ind w:left="677"/>
              <w:spacing w:after="0"/>
              <w:rPr>
                <w:sz w:val="20"/>
                <w:szCs w:val="20"/>
                <w:color w:val="auto"/>
              </w:rPr>
            </w:pPr>
            <w:r>
              <w:rPr>
                <w:rFonts w:ascii="Arial" w:cs="Arial" w:eastAsia="Arial" w:hAnsi="Arial"/>
                <w:sz w:val="17"/>
                <w:szCs w:val="17"/>
                <w:color w:val="auto"/>
                <w:w w:val="89"/>
              </w:rPr>
              <w:t>Emerging growth company</w:t>
            </w:r>
          </w:p>
        </w:tc>
        <w:tc>
          <w:tcPr>
            <w:tcW w:w="620" w:type="dxa"/>
            <w:vAlign w:val="bottom"/>
          </w:tcPr>
          <w:p>
            <w:pPr>
              <w:ind w:left="460"/>
              <w:spacing w:after="0" w:line="171" w:lineRule="exact"/>
              <w:rPr>
                <w:sz w:val="20"/>
                <w:szCs w:val="20"/>
                <w:color w:val="auto"/>
              </w:rPr>
            </w:pPr>
            <w:r>
              <w:rPr>
                <w:rFonts w:ascii="MS PGothic" w:cs="MS PGothic" w:eastAsia="MS PGothic" w:hAnsi="MS PGothic"/>
                <w:sz w:val="17"/>
                <w:szCs w:val="17"/>
                <w:color w:val="auto"/>
                <w:w w:val="82"/>
              </w:rPr>
              <w:t>☐</w:t>
            </w:r>
          </w:p>
        </w:tc>
      </w:tr>
    </w:tbl>
    <w:p>
      <w:pPr>
        <w:spacing w:after="0" w:line="58" w:lineRule="exact"/>
        <w:rPr>
          <w:sz w:val="24"/>
          <w:szCs w:val="24"/>
          <w:color w:val="auto"/>
        </w:rPr>
      </w:pPr>
    </w:p>
    <w:p>
      <w:pPr>
        <w:ind w:right="380" w:firstLine="512"/>
        <w:spacing w:after="0" w:line="213" w:lineRule="exact"/>
        <w:rPr>
          <w:sz w:val="20"/>
          <w:szCs w:val="20"/>
          <w:color w:val="auto"/>
        </w:rPr>
      </w:pPr>
      <w:r>
        <w:rPr>
          <w:rFonts w:ascii="Arial" w:cs="Arial" w:eastAsia="Arial" w:hAnsi="Arial"/>
          <w:sz w:val="17"/>
          <w:szCs w:val="17"/>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7"/>
          <w:szCs w:val="17"/>
          <w:color w:val="auto"/>
        </w:rPr>
        <w:t>☐</w:t>
      </w:r>
    </w:p>
    <w:p>
      <w:pPr>
        <w:spacing w:after="0" w:line="172" w:lineRule="exact"/>
        <w:rPr>
          <w:sz w:val="24"/>
          <w:szCs w:val="24"/>
          <w:color w:val="auto"/>
        </w:rPr>
      </w:pPr>
    </w:p>
    <w:p>
      <w:pPr>
        <w:ind w:left="240"/>
        <w:spacing w:after="0" w:line="196" w:lineRule="exact"/>
        <w:rPr>
          <w:sz w:val="20"/>
          <w:szCs w:val="20"/>
          <w:color w:val="auto"/>
        </w:rPr>
      </w:pPr>
      <w:r>
        <w:rPr>
          <w:rFonts w:ascii="Arial" w:cs="Arial" w:eastAsia="Arial" w:hAnsi="Arial"/>
          <w:sz w:val="17"/>
          <w:szCs w:val="17"/>
          <w:color w:val="auto"/>
        </w:rPr>
        <w:t xml:space="preserve">Indicate by check mark whether the registrant is a shell company (as defined in Rule 12b-2 of the Exchange Act).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x</w:t>
      </w:r>
    </w:p>
    <w:p>
      <w:pPr>
        <w:spacing w:after="0" w:line="227" w:lineRule="exact"/>
        <w:rPr>
          <w:sz w:val="24"/>
          <w:szCs w:val="24"/>
          <w:color w:val="auto"/>
        </w:rPr>
      </w:pPr>
    </w:p>
    <w:p>
      <w:pPr>
        <w:ind w:left="240"/>
        <w:spacing w:after="0"/>
        <w:rPr>
          <w:sz w:val="20"/>
          <w:szCs w:val="20"/>
          <w:color w:val="auto"/>
        </w:rPr>
      </w:pPr>
      <w:r>
        <w:rPr>
          <w:rFonts w:ascii="Arial" w:cs="Arial" w:eastAsia="Arial" w:hAnsi="Arial"/>
          <w:sz w:val="14"/>
          <w:szCs w:val="14"/>
          <w:color w:val="auto"/>
        </w:rPr>
        <w:t>As of October 29, 2021, 1,793 million shares of voting common stock were outstanding, and no shares of nonvoting common stock were authorized or outstanding.</w:t>
      </w:r>
    </w:p>
    <w:p>
      <w:pPr>
        <w:spacing w:after="0" w:line="48" w:lineRule="exact"/>
        <w:rPr>
          <w:sz w:val="24"/>
          <w:szCs w:val="24"/>
          <w:color w:val="auto"/>
        </w:rPr>
      </w:pPr>
    </w:p>
    <w:p>
      <w:pPr>
        <w:spacing w:after="0"/>
        <w:rPr>
          <w:sz w:val="20"/>
          <w:szCs w:val="20"/>
          <w:color w:val="auto"/>
        </w:rPr>
      </w:pPr>
      <w:r>
        <w:rPr>
          <w:rFonts w:ascii="Arial" w:cs="Arial" w:eastAsia="Arial" w:hAnsi="Arial"/>
          <w:sz w:val="17"/>
          <w:szCs w:val="17"/>
          <w:color w:val="auto"/>
        </w:rPr>
        <w:t>Unless the context otherwise requires, references to common stock in this Report mean the Registrant’s voting 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-8890</wp:posOffset>
            </wp:positionH>
            <wp:positionV relativeFrom="paragraph">
              <wp:posOffset>529590</wp:posOffset>
            </wp:positionV>
            <wp:extent cx="7162165" cy="41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67" w:right="33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27"/>
        </w:trPr>
        <w:tc>
          <w:tcPr>
            <w:tcW w:w="900" w:type="dxa"/>
            <w:vAlign w:val="bottom"/>
          </w:tcPr>
          <w:p>
            <w:pPr>
              <w:spacing w:after="0"/>
              <w:rPr>
                <w:sz w:val="19"/>
                <w:szCs w:val="19"/>
                <w:color w:val="auto"/>
              </w:rPr>
            </w:pPr>
          </w:p>
        </w:tc>
        <w:tc>
          <w:tcPr>
            <w:tcW w:w="9040" w:type="dxa"/>
            <w:vAlign w:val="bottom"/>
          </w:tcPr>
          <w:p>
            <w:pPr>
              <w:jc w:val="center"/>
              <w:ind w:left="573"/>
              <w:spacing w:after="0"/>
              <w:rPr>
                <w:sz w:val="20"/>
                <w:szCs w:val="20"/>
                <w:color w:val="auto"/>
              </w:rPr>
            </w:pPr>
            <w:r>
              <w:rPr>
                <w:rFonts w:ascii="Arial" w:cs="Arial" w:eastAsia="Arial" w:hAnsi="Arial"/>
                <w:sz w:val="17"/>
                <w:szCs w:val="17"/>
                <w:b w:val="1"/>
                <w:bCs w:val="1"/>
                <w:color w:val="auto"/>
              </w:rPr>
              <w:t>FORM 10-Q</w:t>
            </w:r>
          </w:p>
        </w:tc>
        <w:tc>
          <w:tcPr>
            <w:tcW w:w="1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6"/>
        </w:trPr>
        <w:tc>
          <w:tcPr>
            <w:tcW w:w="900" w:type="dxa"/>
            <w:vAlign w:val="bottom"/>
          </w:tcPr>
          <w:p>
            <w:pPr>
              <w:spacing w:after="0"/>
              <w:rPr>
                <w:sz w:val="24"/>
                <w:szCs w:val="24"/>
                <w:color w:val="auto"/>
              </w:rPr>
            </w:pPr>
          </w:p>
        </w:tc>
        <w:tc>
          <w:tcPr>
            <w:tcW w:w="9040" w:type="dxa"/>
            <w:vAlign w:val="bottom"/>
          </w:tcPr>
          <w:p>
            <w:pPr>
              <w:jc w:val="center"/>
              <w:ind w:left="553"/>
              <w:spacing w:after="0"/>
              <w:rPr>
                <w:sz w:val="20"/>
                <w:szCs w:val="20"/>
                <w:color w:val="auto"/>
              </w:rPr>
            </w:pPr>
            <w:r>
              <w:rPr>
                <w:rFonts w:ascii="Arial" w:cs="Arial" w:eastAsia="Arial" w:hAnsi="Arial"/>
                <w:sz w:val="17"/>
                <w:szCs w:val="17"/>
                <w:b w:val="1"/>
                <w:bCs w:val="1"/>
                <w:color w:val="auto"/>
              </w:rPr>
              <w:t>GLOBALSTAR, INC.</w:t>
            </w:r>
          </w:p>
        </w:tc>
        <w:tc>
          <w:tcPr>
            <w:tcW w:w="1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7"/>
        </w:trPr>
        <w:tc>
          <w:tcPr>
            <w:tcW w:w="900" w:type="dxa"/>
            <w:vAlign w:val="bottom"/>
          </w:tcPr>
          <w:p>
            <w:pPr>
              <w:spacing w:after="0"/>
              <w:rPr>
                <w:sz w:val="19"/>
                <w:szCs w:val="19"/>
                <w:color w:val="auto"/>
              </w:rPr>
            </w:pPr>
          </w:p>
        </w:tc>
        <w:tc>
          <w:tcPr>
            <w:tcW w:w="9040" w:type="dxa"/>
            <w:vAlign w:val="bottom"/>
          </w:tcPr>
          <w:p>
            <w:pPr>
              <w:jc w:val="center"/>
              <w:ind w:left="553"/>
              <w:spacing w:after="0"/>
              <w:rPr>
                <w:sz w:val="20"/>
                <w:szCs w:val="20"/>
                <w:color w:val="auto"/>
              </w:rPr>
            </w:pPr>
            <w:r>
              <w:rPr>
                <w:rFonts w:ascii="Arial" w:cs="Arial" w:eastAsia="Arial" w:hAnsi="Arial"/>
                <w:sz w:val="17"/>
                <w:szCs w:val="17"/>
                <w:b w:val="1"/>
                <w:bCs w:val="1"/>
                <w:color w:val="auto"/>
              </w:rPr>
              <w:t>TABLE OF CONTENTS</w:t>
            </w:r>
          </w:p>
        </w:tc>
        <w:tc>
          <w:tcPr>
            <w:tcW w:w="1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49"/>
        </w:trPr>
        <w:tc>
          <w:tcPr>
            <w:tcW w:w="900" w:type="dxa"/>
            <w:vAlign w:val="bottom"/>
          </w:tcPr>
          <w:p>
            <w:pPr>
              <w:spacing w:after="0"/>
              <w:rPr>
                <w:sz w:val="24"/>
                <w:szCs w:val="24"/>
                <w:color w:val="auto"/>
              </w:rPr>
            </w:pPr>
          </w:p>
        </w:tc>
        <w:tc>
          <w:tcPr>
            <w:tcW w:w="9040" w:type="dxa"/>
            <w:vAlign w:val="bottom"/>
            <w:vMerge w:val="restart"/>
          </w:tcPr>
          <w:p>
            <w:pPr>
              <w:ind w:left="2560"/>
              <w:spacing w:after="0"/>
              <w:rPr>
                <w:rFonts w:ascii="Arial" w:cs="Arial" w:eastAsia="Arial" w:hAnsi="Arial"/>
                <w:sz w:val="17"/>
                <w:szCs w:val="17"/>
                <w:b w:val="1"/>
                <w:bCs w:val="1"/>
                <w:color w:val="auto"/>
              </w:rPr>
            </w:pPr>
            <w:hyperlink w:anchor="page2">
              <w:r>
                <w:rPr>
                  <w:rFonts w:ascii="Arial" w:cs="Arial" w:eastAsia="Arial" w:hAnsi="Arial"/>
                  <w:sz w:val="17"/>
                  <w:szCs w:val="17"/>
                  <w:b w:val="1"/>
                  <w:bCs w:val="1"/>
                  <w:color w:val="auto"/>
                </w:rPr>
                <w:t xml:space="preserve">PART I - </w:t>
              </w:r>
            </w:hyperlink>
            <w:r>
              <w:rPr>
                <w:rFonts w:ascii="Arial" w:cs="Arial" w:eastAsia="Arial" w:hAnsi="Arial"/>
                <w:sz w:val="17"/>
                <w:szCs w:val="17"/>
                <w:b w:val="1"/>
                <w:bCs w:val="1"/>
                <w:color w:val="auto"/>
              </w:rPr>
              <w:t>FINANCIAL INFORMATION</w:t>
            </w:r>
          </w:p>
        </w:tc>
        <w:tc>
          <w:tcPr>
            <w:tcW w:w="1300" w:type="dxa"/>
            <w:vAlign w:val="bottom"/>
            <w:gridSpan w:val="2"/>
          </w:tcPr>
          <w:p>
            <w:pPr>
              <w:ind w:left="460"/>
              <w:spacing w:after="0"/>
              <w:rPr>
                <w:sz w:val="20"/>
                <w:szCs w:val="20"/>
                <w:color w:val="auto"/>
              </w:rPr>
            </w:pPr>
            <w:r>
              <w:rPr>
                <w:rFonts w:ascii="Arial" w:cs="Arial" w:eastAsia="Arial" w:hAnsi="Arial"/>
                <w:sz w:val="17"/>
                <w:szCs w:val="17"/>
                <w:b w:val="1"/>
                <w:bCs w:val="1"/>
                <w:color w:val="auto"/>
              </w:rPr>
              <w:t>Page</w:t>
            </w:r>
          </w:p>
        </w:tc>
        <w:tc>
          <w:tcPr>
            <w:tcW w:w="0" w:type="dxa"/>
            <w:vAlign w:val="bottom"/>
          </w:tcPr>
          <w:p>
            <w:pPr>
              <w:spacing w:after="0"/>
              <w:rPr>
                <w:sz w:val="1"/>
                <w:szCs w:val="1"/>
                <w:color w:val="auto"/>
              </w:rPr>
            </w:pPr>
          </w:p>
        </w:tc>
      </w:tr>
      <w:tr>
        <w:trPr>
          <w:trHeight w:val="202"/>
        </w:trPr>
        <w:tc>
          <w:tcPr>
            <w:tcW w:w="900" w:type="dxa"/>
            <w:vAlign w:val="bottom"/>
          </w:tcPr>
          <w:p>
            <w:pPr>
              <w:spacing w:after="0"/>
              <w:rPr>
                <w:sz w:val="17"/>
                <w:szCs w:val="17"/>
                <w:color w:val="auto"/>
              </w:rPr>
            </w:pPr>
          </w:p>
        </w:tc>
        <w:tc>
          <w:tcPr>
            <w:tcW w:w="9040" w:type="dxa"/>
            <w:vAlign w:val="bottom"/>
            <w:vMerge w:val="continue"/>
          </w:tcPr>
          <w:p>
            <w:pPr>
              <w:spacing w:after="0"/>
              <w:rPr>
                <w:sz w:val="17"/>
                <w:szCs w:val="17"/>
                <w:color w:val="auto"/>
              </w:rPr>
            </w:pPr>
          </w:p>
        </w:tc>
        <w:tc>
          <w:tcPr>
            <w:tcW w:w="1280" w:type="dxa"/>
            <w:vAlign w:val="bottom"/>
            <w:tcBorders>
              <w:top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900" w:type="dxa"/>
            <w:vAlign w:val="bottom"/>
            <w:shd w:val="clear" w:color="auto" w:fill="CCEEFF"/>
          </w:tcPr>
          <w:p>
            <w:pPr>
              <w:spacing w:after="0"/>
              <w:rPr>
                <w:sz w:val="19"/>
                <w:szCs w:val="19"/>
                <w:color w:val="auto"/>
              </w:rPr>
            </w:pPr>
          </w:p>
        </w:tc>
        <w:tc>
          <w:tcPr>
            <w:tcW w:w="90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1.</w:t>
            </w:r>
          </w:p>
        </w:tc>
        <w:tc>
          <w:tcPr>
            <w:tcW w:w="9040" w:type="dxa"/>
            <w:vAlign w:val="bottom"/>
          </w:tcPr>
          <w:p>
            <w:pPr>
              <w:ind w:left="160"/>
              <w:spacing w:after="0"/>
              <w:rPr>
                <w:rFonts w:ascii="Arial" w:cs="Arial" w:eastAsia="Arial" w:hAnsi="Arial"/>
                <w:sz w:val="17"/>
                <w:szCs w:val="17"/>
                <w:color w:val="auto"/>
              </w:rPr>
            </w:pPr>
            <w:hyperlink w:anchor="page3">
              <w:r>
                <w:rPr>
                  <w:rFonts w:ascii="Arial" w:cs="Arial" w:eastAsia="Arial" w:hAnsi="Arial"/>
                  <w:sz w:val="17"/>
                  <w:szCs w:val="17"/>
                  <w:color w:val="auto"/>
                </w:rPr>
                <w:t>Financial Statements.</w:t>
              </w:r>
            </w:hyperlink>
          </w:p>
        </w:tc>
        <w:tc>
          <w:tcPr>
            <w:tcW w:w="1280" w:type="dxa"/>
            <w:vAlign w:val="bottom"/>
          </w:tcPr>
          <w:p>
            <w:pPr>
              <w:jc w:val="right"/>
              <w:spacing w:after="0"/>
              <w:rPr>
                <w:rFonts w:ascii="Arial" w:cs="Arial" w:eastAsia="Arial" w:hAnsi="Arial"/>
                <w:sz w:val="17"/>
                <w:szCs w:val="17"/>
                <w:color w:val="auto"/>
              </w:rPr>
            </w:pPr>
            <w:hyperlink w:anchor="page3">
              <w:r>
                <w:rPr>
                  <w:rFonts w:ascii="Arial" w:cs="Arial" w:eastAsia="Arial" w:hAnsi="Arial"/>
                  <w:sz w:val="17"/>
                  <w:szCs w:val="17"/>
                  <w:color w:val="auto"/>
                </w:rPr>
                <w:t>1</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shd w:val="clear" w:color="auto" w:fill="CCEEFF"/>
          </w:tcPr>
          <w:p>
            <w:pPr>
              <w:spacing w:after="0"/>
              <w:rPr>
                <w:sz w:val="19"/>
                <w:szCs w:val="19"/>
                <w:color w:val="auto"/>
              </w:rPr>
            </w:pPr>
          </w:p>
        </w:tc>
        <w:tc>
          <w:tcPr>
            <w:tcW w:w="90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2.</w:t>
            </w:r>
          </w:p>
        </w:tc>
        <w:tc>
          <w:tcPr>
            <w:tcW w:w="9040" w:type="dxa"/>
            <w:vAlign w:val="bottom"/>
          </w:tcPr>
          <w:p>
            <w:pPr>
              <w:ind w:left="160"/>
              <w:spacing w:after="0"/>
              <w:rPr>
                <w:rFonts w:ascii="Arial" w:cs="Arial" w:eastAsia="Arial" w:hAnsi="Arial"/>
                <w:sz w:val="17"/>
                <w:szCs w:val="17"/>
                <w:color w:val="auto"/>
              </w:rPr>
            </w:pPr>
            <w:hyperlink w:anchor="page23">
              <w:r>
                <w:rPr>
                  <w:rFonts w:ascii="Arial" w:cs="Arial" w:eastAsia="Arial" w:hAnsi="Arial"/>
                  <w:sz w:val="17"/>
                  <w:szCs w:val="17"/>
                  <w:color w:val="auto"/>
                </w:rPr>
                <w:t>Management’s Discussion and Analysis of Financial Condition and Results of Operations.</w:t>
              </w:r>
            </w:hyperlink>
          </w:p>
        </w:tc>
        <w:tc>
          <w:tcPr>
            <w:tcW w:w="1280" w:type="dxa"/>
            <w:vAlign w:val="bottom"/>
          </w:tcPr>
          <w:p>
            <w:pPr>
              <w:jc w:val="right"/>
              <w:spacing w:after="0"/>
              <w:rPr>
                <w:rFonts w:ascii="Arial" w:cs="Arial" w:eastAsia="Arial" w:hAnsi="Arial"/>
                <w:sz w:val="17"/>
                <w:szCs w:val="17"/>
                <w:color w:val="auto"/>
              </w:rPr>
            </w:pPr>
            <w:hyperlink w:anchor="page23">
              <w:r>
                <w:rPr>
                  <w:rFonts w:ascii="Arial" w:cs="Arial" w:eastAsia="Arial" w:hAnsi="Arial"/>
                  <w:sz w:val="17"/>
                  <w:szCs w:val="17"/>
                  <w:color w:val="auto"/>
                </w:rPr>
                <w:t>19</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shd w:val="clear" w:color="auto" w:fill="CCEEFF"/>
          </w:tcPr>
          <w:p>
            <w:pPr>
              <w:spacing w:after="0"/>
              <w:rPr>
                <w:sz w:val="19"/>
                <w:szCs w:val="19"/>
                <w:color w:val="auto"/>
              </w:rPr>
            </w:pPr>
          </w:p>
        </w:tc>
        <w:tc>
          <w:tcPr>
            <w:tcW w:w="90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3.</w:t>
            </w:r>
          </w:p>
        </w:tc>
        <w:tc>
          <w:tcPr>
            <w:tcW w:w="9040" w:type="dxa"/>
            <w:vAlign w:val="bottom"/>
          </w:tcPr>
          <w:p>
            <w:pPr>
              <w:ind w:left="160"/>
              <w:spacing w:after="0"/>
              <w:rPr>
                <w:rFonts w:ascii="Arial" w:cs="Arial" w:eastAsia="Arial" w:hAnsi="Arial"/>
                <w:sz w:val="17"/>
                <w:szCs w:val="17"/>
                <w:color w:val="auto"/>
              </w:rPr>
            </w:pPr>
            <w:hyperlink w:anchor="page33">
              <w:r>
                <w:rPr>
                  <w:rFonts w:ascii="Arial" w:cs="Arial" w:eastAsia="Arial" w:hAnsi="Arial"/>
                  <w:sz w:val="17"/>
                  <w:szCs w:val="17"/>
                  <w:color w:val="auto"/>
                </w:rPr>
                <w:t>Quantitative and Qualitative Disclosures About Market Risk.</w:t>
              </w:r>
            </w:hyperlink>
          </w:p>
        </w:tc>
        <w:tc>
          <w:tcPr>
            <w:tcW w:w="1280" w:type="dxa"/>
            <w:vAlign w:val="bottom"/>
          </w:tcPr>
          <w:p>
            <w:pPr>
              <w:jc w:val="right"/>
              <w:spacing w:after="0"/>
              <w:rPr>
                <w:rFonts w:ascii="Arial" w:cs="Arial" w:eastAsia="Arial" w:hAnsi="Arial"/>
                <w:sz w:val="17"/>
                <w:szCs w:val="17"/>
                <w:color w:val="auto"/>
              </w:rPr>
            </w:pPr>
            <w:hyperlink w:anchor="page33">
              <w:r>
                <w:rPr>
                  <w:rFonts w:ascii="Arial" w:cs="Arial" w:eastAsia="Arial" w:hAnsi="Arial"/>
                  <w:sz w:val="17"/>
                  <w:szCs w:val="17"/>
                  <w:color w:val="auto"/>
                </w:rPr>
                <w:t>29</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shd w:val="clear" w:color="auto" w:fill="CCEEFF"/>
          </w:tcPr>
          <w:p>
            <w:pPr>
              <w:spacing w:after="0"/>
              <w:rPr>
                <w:sz w:val="19"/>
                <w:szCs w:val="19"/>
                <w:color w:val="auto"/>
              </w:rPr>
            </w:pPr>
          </w:p>
        </w:tc>
        <w:tc>
          <w:tcPr>
            <w:tcW w:w="90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4.</w:t>
            </w:r>
          </w:p>
        </w:tc>
        <w:tc>
          <w:tcPr>
            <w:tcW w:w="9040" w:type="dxa"/>
            <w:vAlign w:val="bottom"/>
          </w:tcPr>
          <w:p>
            <w:pPr>
              <w:ind w:left="160"/>
              <w:spacing w:after="0"/>
              <w:rPr>
                <w:rFonts w:ascii="Arial" w:cs="Arial" w:eastAsia="Arial" w:hAnsi="Arial"/>
                <w:sz w:val="17"/>
                <w:szCs w:val="17"/>
                <w:color w:val="auto"/>
              </w:rPr>
            </w:pPr>
            <w:hyperlink w:anchor="page33">
              <w:r>
                <w:rPr>
                  <w:rFonts w:ascii="Arial" w:cs="Arial" w:eastAsia="Arial" w:hAnsi="Arial"/>
                  <w:sz w:val="17"/>
                  <w:szCs w:val="17"/>
                  <w:color w:val="auto"/>
                </w:rPr>
                <w:t>Controls and Procedures.</w:t>
              </w:r>
            </w:hyperlink>
          </w:p>
        </w:tc>
        <w:tc>
          <w:tcPr>
            <w:tcW w:w="1280" w:type="dxa"/>
            <w:vAlign w:val="bottom"/>
          </w:tcPr>
          <w:p>
            <w:pPr>
              <w:jc w:val="right"/>
              <w:spacing w:after="0"/>
              <w:rPr>
                <w:rFonts w:ascii="Arial" w:cs="Arial" w:eastAsia="Arial" w:hAnsi="Arial"/>
                <w:sz w:val="17"/>
                <w:szCs w:val="17"/>
                <w:color w:val="auto"/>
              </w:rPr>
            </w:pPr>
            <w:hyperlink w:anchor="page33">
              <w:r>
                <w:rPr>
                  <w:rFonts w:ascii="Arial" w:cs="Arial" w:eastAsia="Arial" w:hAnsi="Arial"/>
                  <w:sz w:val="17"/>
                  <w:szCs w:val="17"/>
                  <w:color w:val="auto"/>
                </w:rPr>
                <w:t>30</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shd w:val="clear" w:color="auto" w:fill="CCEEFF"/>
          </w:tcPr>
          <w:p>
            <w:pPr>
              <w:spacing w:after="0"/>
              <w:rPr>
                <w:sz w:val="19"/>
                <w:szCs w:val="19"/>
                <w:color w:val="auto"/>
              </w:rPr>
            </w:pPr>
          </w:p>
        </w:tc>
        <w:tc>
          <w:tcPr>
            <w:tcW w:w="90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tcPr>
          <w:p>
            <w:pPr>
              <w:spacing w:after="0"/>
              <w:rPr>
                <w:sz w:val="19"/>
                <w:szCs w:val="19"/>
                <w:color w:val="auto"/>
              </w:rPr>
            </w:pPr>
          </w:p>
        </w:tc>
        <w:tc>
          <w:tcPr>
            <w:tcW w:w="9040" w:type="dxa"/>
            <w:vAlign w:val="bottom"/>
          </w:tcPr>
          <w:p>
            <w:pPr>
              <w:ind w:left="2700"/>
              <w:spacing w:after="0"/>
              <w:rPr>
                <w:rFonts w:ascii="Arial" w:cs="Arial" w:eastAsia="Arial" w:hAnsi="Arial"/>
                <w:sz w:val="17"/>
                <w:szCs w:val="17"/>
                <w:b w:val="1"/>
                <w:bCs w:val="1"/>
                <w:color w:val="auto"/>
              </w:rPr>
            </w:pPr>
            <w:hyperlink w:anchor="page34">
              <w:r>
                <w:rPr>
                  <w:rFonts w:ascii="Arial" w:cs="Arial" w:eastAsia="Arial" w:hAnsi="Arial"/>
                  <w:sz w:val="17"/>
                  <w:szCs w:val="17"/>
                  <w:b w:val="1"/>
                  <w:bCs w:val="1"/>
                  <w:color w:val="auto"/>
                </w:rPr>
                <w:t xml:space="preserve">PART II - </w:t>
              </w:r>
            </w:hyperlink>
            <w:r>
              <w:rPr>
                <w:rFonts w:ascii="Arial" w:cs="Arial" w:eastAsia="Arial" w:hAnsi="Arial"/>
                <w:sz w:val="17"/>
                <w:szCs w:val="17"/>
                <w:b w:val="1"/>
                <w:bCs w:val="1"/>
                <w:color w:val="auto"/>
              </w:rPr>
              <w:t>OTHER INFORMATION</w:t>
            </w:r>
          </w:p>
        </w:tc>
        <w:tc>
          <w:tcPr>
            <w:tcW w:w="1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shd w:val="clear" w:color="auto" w:fill="CCEEFF"/>
          </w:tcPr>
          <w:p>
            <w:pPr>
              <w:spacing w:after="0"/>
              <w:rPr>
                <w:sz w:val="19"/>
                <w:szCs w:val="19"/>
                <w:color w:val="auto"/>
              </w:rPr>
            </w:pPr>
          </w:p>
        </w:tc>
        <w:tc>
          <w:tcPr>
            <w:tcW w:w="90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1.</w:t>
            </w:r>
          </w:p>
        </w:tc>
        <w:tc>
          <w:tcPr>
            <w:tcW w:w="9040" w:type="dxa"/>
            <w:vAlign w:val="bottom"/>
          </w:tcPr>
          <w:p>
            <w:pPr>
              <w:ind w:left="160"/>
              <w:spacing w:after="0"/>
              <w:rPr>
                <w:rFonts w:ascii="Arial" w:cs="Arial" w:eastAsia="Arial" w:hAnsi="Arial"/>
                <w:sz w:val="17"/>
                <w:szCs w:val="17"/>
                <w:color w:val="auto"/>
              </w:rPr>
            </w:pPr>
            <w:hyperlink w:anchor="page35">
              <w:r>
                <w:rPr>
                  <w:rFonts w:ascii="Arial" w:cs="Arial" w:eastAsia="Arial" w:hAnsi="Arial"/>
                  <w:sz w:val="17"/>
                  <w:szCs w:val="17"/>
                  <w:color w:val="auto"/>
                </w:rPr>
                <w:t>Legal Proceedings.</w:t>
              </w:r>
            </w:hyperlink>
          </w:p>
        </w:tc>
        <w:tc>
          <w:tcPr>
            <w:tcW w:w="1280" w:type="dxa"/>
            <w:vAlign w:val="bottom"/>
          </w:tcPr>
          <w:p>
            <w:pPr>
              <w:jc w:val="right"/>
              <w:spacing w:after="0"/>
              <w:rPr>
                <w:rFonts w:ascii="Arial" w:cs="Arial" w:eastAsia="Arial" w:hAnsi="Arial"/>
                <w:sz w:val="17"/>
                <w:szCs w:val="17"/>
                <w:color w:val="auto"/>
              </w:rPr>
            </w:pPr>
            <w:hyperlink w:anchor="page35">
              <w:r>
                <w:rPr>
                  <w:rFonts w:ascii="Arial" w:cs="Arial" w:eastAsia="Arial" w:hAnsi="Arial"/>
                  <w:sz w:val="17"/>
                  <w:szCs w:val="17"/>
                  <w:color w:val="auto"/>
                </w:rPr>
                <w:t>31</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900" w:type="dxa"/>
            <w:vAlign w:val="bottom"/>
            <w:shd w:val="clear" w:color="auto" w:fill="CCEEFF"/>
          </w:tcPr>
          <w:p>
            <w:pPr>
              <w:spacing w:after="0"/>
              <w:rPr>
                <w:sz w:val="21"/>
                <w:szCs w:val="21"/>
                <w:color w:val="auto"/>
              </w:rPr>
            </w:pPr>
          </w:p>
        </w:tc>
        <w:tc>
          <w:tcPr>
            <w:tcW w:w="9040" w:type="dxa"/>
            <w:vAlign w:val="bottom"/>
            <w:shd w:val="clear" w:color="auto" w:fill="CCEEFF"/>
          </w:tcPr>
          <w:p>
            <w:pPr>
              <w:spacing w:after="0"/>
              <w:rPr>
                <w:sz w:val="21"/>
                <w:szCs w:val="21"/>
                <w:color w:val="auto"/>
              </w:rPr>
            </w:pPr>
          </w:p>
        </w:tc>
        <w:tc>
          <w:tcPr>
            <w:tcW w:w="1280" w:type="dxa"/>
            <w:vAlign w:val="bottom"/>
            <w:shd w:val="clear" w:color="auto" w:fill="CCEEFF"/>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1A.</w:t>
            </w:r>
          </w:p>
        </w:tc>
        <w:tc>
          <w:tcPr>
            <w:tcW w:w="9040" w:type="dxa"/>
            <w:vAlign w:val="bottom"/>
          </w:tcPr>
          <w:p>
            <w:pPr>
              <w:ind w:left="160"/>
              <w:spacing w:after="0"/>
              <w:rPr>
                <w:rFonts w:ascii="Arial" w:cs="Arial" w:eastAsia="Arial" w:hAnsi="Arial"/>
                <w:sz w:val="17"/>
                <w:szCs w:val="17"/>
                <w:color w:val="auto"/>
              </w:rPr>
            </w:pPr>
            <w:hyperlink w:anchor="page35">
              <w:r>
                <w:rPr>
                  <w:rFonts w:ascii="Arial" w:cs="Arial" w:eastAsia="Arial" w:hAnsi="Arial"/>
                  <w:sz w:val="17"/>
                  <w:szCs w:val="17"/>
                  <w:color w:val="auto"/>
                </w:rPr>
                <w:t>Risk Factors.</w:t>
              </w:r>
            </w:hyperlink>
          </w:p>
        </w:tc>
        <w:tc>
          <w:tcPr>
            <w:tcW w:w="1280" w:type="dxa"/>
            <w:vAlign w:val="bottom"/>
          </w:tcPr>
          <w:p>
            <w:pPr>
              <w:jc w:val="right"/>
              <w:spacing w:after="0"/>
              <w:rPr>
                <w:rFonts w:ascii="Arial" w:cs="Arial" w:eastAsia="Arial" w:hAnsi="Arial"/>
                <w:sz w:val="17"/>
                <w:szCs w:val="17"/>
                <w:color w:val="auto"/>
              </w:rPr>
            </w:pPr>
            <w:hyperlink w:anchor="page35">
              <w:r>
                <w:rPr>
                  <w:rFonts w:ascii="Arial" w:cs="Arial" w:eastAsia="Arial" w:hAnsi="Arial"/>
                  <w:sz w:val="17"/>
                  <w:szCs w:val="17"/>
                  <w:color w:val="auto"/>
                </w:rPr>
                <w:t>31</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shd w:val="clear" w:color="auto" w:fill="CCEEFF"/>
          </w:tcPr>
          <w:p>
            <w:pPr>
              <w:spacing w:after="0"/>
              <w:rPr>
                <w:sz w:val="19"/>
                <w:szCs w:val="19"/>
                <w:color w:val="auto"/>
              </w:rPr>
            </w:pPr>
          </w:p>
        </w:tc>
        <w:tc>
          <w:tcPr>
            <w:tcW w:w="90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2.</w:t>
            </w:r>
          </w:p>
        </w:tc>
        <w:tc>
          <w:tcPr>
            <w:tcW w:w="9040" w:type="dxa"/>
            <w:vAlign w:val="bottom"/>
          </w:tcPr>
          <w:p>
            <w:pPr>
              <w:ind w:left="160"/>
              <w:spacing w:after="0"/>
              <w:rPr>
                <w:rFonts w:ascii="Arial" w:cs="Arial" w:eastAsia="Arial" w:hAnsi="Arial"/>
                <w:sz w:val="17"/>
                <w:szCs w:val="17"/>
                <w:color w:val="auto"/>
              </w:rPr>
            </w:pPr>
            <w:hyperlink w:anchor="page35">
              <w:r>
                <w:rPr>
                  <w:rFonts w:ascii="Arial" w:cs="Arial" w:eastAsia="Arial" w:hAnsi="Arial"/>
                  <w:sz w:val="17"/>
                  <w:szCs w:val="17"/>
                  <w:color w:val="auto"/>
                </w:rPr>
                <w:t>Unregistered Sales of Equity Securities and Use of Proceeds.</w:t>
              </w:r>
            </w:hyperlink>
          </w:p>
        </w:tc>
        <w:tc>
          <w:tcPr>
            <w:tcW w:w="1280" w:type="dxa"/>
            <w:vAlign w:val="bottom"/>
          </w:tcPr>
          <w:p>
            <w:pPr>
              <w:jc w:val="right"/>
              <w:spacing w:after="0"/>
              <w:rPr>
                <w:rFonts w:ascii="Arial" w:cs="Arial" w:eastAsia="Arial" w:hAnsi="Arial"/>
                <w:sz w:val="17"/>
                <w:szCs w:val="17"/>
                <w:color w:val="auto"/>
              </w:rPr>
            </w:pPr>
            <w:hyperlink w:anchor="page35">
              <w:r>
                <w:rPr>
                  <w:rFonts w:ascii="Arial" w:cs="Arial" w:eastAsia="Arial" w:hAnsi="Arial"/>
                  <w:sz w:val="17"/>
                  <w:szCs w:val="17"/>
                  <w:color w:val="auto"/>
                </w:rPr>
                <w:t>31</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900" w:type="dxa"/>
            <w:vAlign w:val="bottom"/>
            <w:shd w:val="clear" w:color="auto" w:fill="CCEEFF"/>
          </w:tcPr>
          <w:p>
            <w:pPr>
              <w:spacing w:after="0"/>
              <w:rPr>
                <w:sz w:val="21"/>
                <w:szCs w:val="21"/>
                <w:color w:val="auto"/>
              </w:rPr>
            </w:pPr>
          </w:p>
        </w:tc>
        <w:tc>
          <w:tcPr>
            <w:tcW w:w="9040" w:type="dxa"/>
            <w:vAlign w:val="bottom"/>
            <w:shd w:val="clear" w:color="auto" w:fill="CCEEFF"/>
          </w:tcPr>
          <w:p>
            <w:pPr>
              <w:spacing w:after="0"/>
              <w:rPr>
                <w:sz w:val="21"/>
                <w:szCs w:val="21"/>
                <w:color w:val="auto"/>
              </w:rPr>
            </w:pPr>
          </w:p>
        </w:tc>
        <w:tc>
          <w:tcPr>
            <w:tcW w:w="1280" w:type="dxa"/>
            <w:vAlign w:val="bottom"/>
            <w:shd w:val="clear" w:color="auto" w:fill="CCEEFF"/>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3.</w:t>
            </w:r>
          </w:p>
        </w:tc>
        <w:tc>
          <w:tcPr>
            <w:tcW w:w="9040" w:type="dxa"/>
            <w:vAlign w:val="bottom"/>
          </w:tcPr>
          <w:p>
            <w:pPr>
              <w:ind w:left="160"/>
              <w:spacing w:after="0"/>
              <w:rPr>
                <w:rFonts w:ascii="Arial" w:cs="Arial" w:eastAsia="Arial" w:hAnsi="Arial"/>
                <w:sz w:val="17"/>
                <w:szCs w:val="17"/>
                <w:color w:val="auto"/>
              </w:rPr>
            </w:pPr>
            <w:hyperlink w:anchor="page35">
              <w:r>
                <w:rPr>
                  <w:rFonts w:ascii="Arial" w:cs="Arial" w:eastAsia="Arial" w:hAnsi="Arial"/>
                  <w:sz w:val="17"/>
                  <w:szCs w:val="17"/>
                  <w:color w:val="auto"/>
                </w:rPr>
                <w:t>Defaults Upon Senior Securities.</w:t>
              </w:r>
            </w:hyperlink>
          </w:p>
        </w:tc>
        <w:tc>
          <w:tcPr>
            <w:tcW w:w="1280" w:type="dxa"/>
            <w:vAlign w:val="bottom"/>
          </w:tcPr>
          <w:p>
            <w:pPr>
              <w:jc w:val="right"/>
              <w:spacing w:after="0"/>
              <w:rPr>
                <w:rFonts w:ascii="Arial" w:cs="Arial" w:eastAsia="Arial" w:hAnsi="Arial"/>
                <w:sz w:val="17"/>
                <w:szCs w:val="17"/>
                <w:color w:val="auto"/>
              </w:rPr>
            </w:pPr>
            <w:hyperlink w:anchor="page35">
              <w:r>
                <w:rPr>
                  <w:rFonts w:ascii="Arial" w:cs="Arial" w:eastAsia="Arial" w:hAnsi="Arial"/>
                  <w:sz w:val="17"/>
                  <w:szCs w:val="17"/>
                  <w:color w:val="auto"/>
                </w:rPr>
                <w:t>31</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900" w:type="dxa"/>
            <w:vAlign w:val="bottom"/>
            <w:shd w:val="clear" w:color="auto" w:fill="CCEEFF"/>
          </w:tcPr>
          <w:p>
            <w:pPr>
              <w:spacing w:after="0"/>
              <w:rPr>
                <w:sz w:val="21"/>
                <w:szCs w:val="21"/>
                <w:color w:val="auto"/>
              </w:rPr>
            </w:pPr>
          </w:p>
        </w:tc>
        <w:tc>
          <w:tcPr>
            <w:tcW w:w="9040" w:type="dxa"/>
            <w:vAlign w:val="bottom"/>
            <w:shd w:val="clear" w:color="auto" w:fill="CCEEFF"/>
          </w:tcPr>
          <w:p>
            <w:pPr>
              <w:spacing w:after="0"/>
              <w:rPr>
                <w:sz w:val="21"/>
                <w:szCs w:val="21"/>
                <w:color w:val="auto"/>
              </w:rPr>
            </w:pPr>
          </w:p>
        </w:tc>
        <w:tc>
          <w:tcPr>
            <w:tcW w:w="1280" w:type="dxa"/>
            <w:vAlign w:val="bottom"/>
            <w:shd w:val="clear" w:color="auto" w:fill="CCEEFF"/>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4.</w:t>
            </w:r>
          </w:p>
        </w:tc>
        <w:tc>
          <w:tcPr>
            <w:tcW w:w="9040" w:type="dxa"/>
            <w:vAlign w:val="bottom"/>
          </w:tcPr>
          <w:p>
            <w:pPr>
              <w:ind w:left="160"/>
              <w:spacing w:after="0"/>
              <w:rPr>
                <w:rFonts w:ascii="Arial" w:cs="Arial" w:eastAsia="Arial" w:hAnsi="Arial"/>
                <w:sz w:val="17"/>
                <w:szCs w:val="17"/>
                <w:color w:val="auto"/>
              </w:rPr>
            </w:pPr>
            <w:hyperlink w:anchor="page35">
              <w:r>
                <w:rPr>
                  <w:rFonts w:ascii="Arial" w:cs="Arial" w:eastAsia="Arial" w:hAnsi="Arial"/>
                  <w:sz w:val="17"/>
                  <w:szCs w:val="17"/>
                  <w:color w:val="auto"/>
                </w:rPr>
                <w:t>Mine Safety Disclosures.</w:t>
              </w:r>
            </w:hyperlink>
          </w:p>
        </w:tc>
        <w:tc>
          <w:tcPr>
            <w:tcW w:w="1280" w:type="dxa"/>
            <w:vAlign w:val="bottom"/>
          </w:tcPr>
          <w:p>
            <w:pPr>
              <w:jc w:val="right"/>
              <w:spacing w:after="0"/>
              <w:rPr>
                <w:rFonts w:ascii="Arial" w:cs="Arial" w:eastAsia="Arial" w:hAnsi="Arial"/>
                <w:sz w:val="17"/>
                <w:szCs w:val="17"/>
                <w:color w:val="auto"/>
              </w:rPr>
            </w:pPr>
            <w:hyperlink w:anchor="page35">
              <w:r>
                <w:rPr>
                  <w:rFonts w:ascii="Arial" w:cs="Arial" w:eastAsia="Arial" w:hAnsi="Arial"/>
                  <w:sz w:val="17"/>
                  <w:szCs w:val="17"/>
                  <w:color w:val="auto"/>
                </w:rPr>
                <w:t>31</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900" w:type="dxa"/>
            <w:vAlign w:val="bottom"/>
            <w:shd w:val="clear" w:color="auto" w:fill="CCEEFF"/>
          </w:tcPr>
          <w:p>
            <w:pPr>
              <w:spacing w:after="0"/>
              <w:rPr>
                <w:sz w:val="21"/>
                <w:szCs w:val="21"/>
                <w:color w:val="auto"/>
              </w:rPr>
            </w:pPr>
          </w:p>
        </w:tc>
        <w:tc>
          <w:tcPr>
            <w:tcW w:w="9040" w:type="dxa"/>
            <w:vAlign w:val="bottom"/>
            <w:shd w:val="clear" w:color="auto" w:fill="CCEEFF"/>
          </w:tcPr>
          <w:p>
            <w:pPr>
              <w:spacing w:after="0"/>
              <w:rPr>
                <w:sz w:val="21"/>
                <w:szCs w:val="21"/>
                <w:color w:val="auto"/>
              </w:rPr>
            </w:pPr>
          </w:p>
        </w:tc>
        <w:tc>
          <w:tcPr>
            <w:tcW w:w="1280" w:type="dxa"/>
            <w:vAlign w:val="bottom"/>
            <w:shd w:val="clear" w:color="auto" w:fill="CCEEFF"/>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5.</w:t>
            </w:r>
          </w:p>
        </w:tc>
        <w:tc>
          <w:tcPr>
            <w:tcW w:w="9040" w:type="dxa"/>
            <w:vAlign w:val="bottom"/>
          </w:tcPr>
          <w:p>
            <w:pPr>
              <w:ind w:left="160"/>
              <w:spacing w:after="0"/>
              <w:rPr>
                <w:rFonts w:ascii="Arial" w:cs="Arial" w:eastAsia="Arial" w:hAnsi="Arial"/>
                <w:sz w:val="17"/>
                <w:szCs w:val="17"/>
                <w:color w:val="auto"/>
              </w:rPr>
            </w:pPr>
            <w:hyperlink w:anchor="page35">
              <w:r>
                <w:rPr>
                  <w:rFonts w:ascii="Arial" w:cs="Arial" w:eastAsia="Arial" w:hAnsi="Arial"/>
                  <w:sz w:val="17"/>
                  <w:szCs w:val="17"/>
                  <w:color w:val="auto"/>
                </w:rPr>
                <w:t>Other Information.</w:t>
              </w:r>
            </w:hyperlink>
          </w:p>
        </w:tc>
        <w:tc>
          <w:tcPr>
            <w:tcW w:w="1280" w:type="dxa"/>
            <w:vAlign w:val="bottom"/>
          </w:tcPr>
          <w:p>
            <w:pPr>
              <w:jc w:val="right"/>
              <w:spacing w:after="0"/>
              <w:rPr>
                <w:rFonts w:ascii="Arial" w:cs="Arial" w:eastAsia="Arial" w:hAnsi="Arial"/>
                <w:sz w:val="17"/>
                <w:szCs w:val="17"/>
                <w:color w:val="auto"/>
              </w:rPr>
            </w:pPr>
            <w:hyperlink w:anchor="page35">
              <w:r>
                <w:rPr>
                  <w:rFonts w:ascii="Arial" w:cs="Arial" w:eastAsia="Arial" w:hAnsi="Arial"/>
                  <w:sz w:val="17"/>
                  <w:szCs w:val="17"/>
                  <w:color w:val="auto"/>
                </w:rPr>
                <w:t>31</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900" w:type="dxa"/>
            <w:vAlign w:val="bottom"/>
            <w:shd w:val="clear" w:color="auto" w:fill="CCEEFF"/>
          </w:tcPr>
          <w:p>
            <w:pPr>
              <w:spacing w:after="0"/>
              <w:rPr>
                <w:sz w:val="21"/>
                <w:szCs w:val="21"/>
                <w:color w:val="auto"/>
              </w:rPr>
            </w:pPr>
          </w:p>
        </w:tc>
        <w:tc>
          <w:tcPr>
            <w:tcW w:w="9040" w:type="dxa"/>
            <w:vAlign w:val="bottom"/>
            <w:shd w:val="clear" w:color="auto" w:fill="CCEEFF"/>
          </w:tcPr>
          <w:p>
            <w:pPr>
              <w:spacing w:after="0"/>
              <w:rPr>
                <w:sz w:val="21"/>
                <w:szCs w:val="21"/>
                <w:color w:val="auto"/>
              </w:rPr>
            </w:pPr>
          </w:p>
        </w:tc>
        <w:tc>
          <w:tcPr>
            <w:tcW w:w="1280" w:type="dxa"/>
            <w:vAlign w:val="bottom"/>
            <w:shd w:val="clear" w:color="auto" w:fill="CCEEFF"/>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6.</w:t>
            </w:r>
          </w:p>
        </w:tc>
        <w:tc>
          <w:tcPr>
            <w:tcW w:w="9040" w:type="dxa"/>
            <w:vAlign w:val="bottom"/>
          </w:tcPr>
          <w:p>
            <w:pPr>
              <w:ind w:left="160"/>
              <w:spacing w:after="0"/>
              <w:rPr>
                <w:rFonts w:ascii="Arial" w:cs="Arial" w:eastAsia="Arial" w:hAnsi="Arial"/>
                <w:sz w:val="17"/>
                <w:szCs w:val="17"/>
                <w:color w:val="auto"/>
              </w:rPr>
            </w:pPr>
            <w:hyperlink w:anchor="page35">
              <w:r>
                <w:rPr>
                  <w:rFonts w:ascii="Arial" w:cs="Arial" w:eastAsia="Arial" w:hAnsi="Arial"/>
                  <w:sz w:val="17"/>
                  <w:szCs w:val="17"/>
                  <w:color w:val="auto"/>
                </w:rPr>
                <w:t>Exhibits.</w:t>
              </w:r>
            </w:hyperlink>
          </w:p>
        </w:tc>
        <w:tc>
          <w:tcPr>
            <w:tcW w:w="1280" w:type="dxa"/>
            <w:vAlign w:val="bottom"/>
          </w:tcPr>
          <w:p>
            <w:pPr>
              <w:jc w:val="right"/>
              <w:spacing w:after="0"/>
              <w:rPr>
                <w:rFonts w:ascii="Arial" w:cs="Arial" w:eastAsia="Arial" w:hAnsi="Arial"/>
                <w:sz w:val="17"/>
                <w:szCs w:val="17"/>
                <w:color w:val="auto"/>
              </w:rPr>
            </w:pPr>
            <w:hyperlink w:anchor="page35">
              <w:r>
                <w:rPr>
                  <w:rFonts w:ascii="Arial" w:cs="Arial" w:eastAsia="Arial" w:hAnsi="Arial"/>
                  <w:sz w:val="17"/>
                  <w:szCs w:val="17"/>
                  <w:color w:val="auto"/>
                </w:rPr>
                <w:t>31</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shd w:val="clear" w:color="auto" w:fill="CCEEFF"/>
          </w:tcPr>
          <w:p>
            <w:pPr>
              <w:spacing w:after="0"/>
              <w:rPr>
                <w:sz w:val="19"/>
                <w:szCs w:val="19"/>
                <w:color w:val="auto"/>
              </w:rPr>
            </w:pPr>
          </w:p>
        </w:tc>
        <w:tc>
          <w:tcPr>
            <w:tcW w:w="90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rFonts w:ascii="Arial" w:cs="Arial" w:eastAsia="Arial" w:hAnsi="Arial"/>
                <w:sz w:val="17"/>
                <w:szCs w:val="17"/>
                <w:color w:val="auto"/>
              </w:rPr>
            </w:pPr>
            <w:hyperlink w:anchor="page35">
              <w:r>
                <w:rPr>
                  <w:rFonts w:ascii="Arial" w:cs="Arial" w:eastAsia="Arial" w:hAnsi="Arial"/>
                  <w:sz w:val="17"/>
                  <w:szCs w:val="17"/>
                  <w:color w:val="auto"/>
                </w:rPr>
                <w:t>Signatures</w:t>
              </w:r>
            </w:hyperlink>
          </w:p>
        </w:tc>
        <w:tc>
          <w:tcPr>
            <w:tcW w:w="9040" w:type="dxa"/>
            <w:vAlign w:val="bottom"/>
          </w:tcPr>
          <w:p>
            <w:pPr>
              <w:spacing w:after="0"/>
              <w:rPr>
                <w:sz w:val="19"/>
                <w:szCs w:val="19"/>
                <w:color w:val="auto"/>
              </w:rPr>
            </w:pPr>
          </w:p>
        </w:tc>
        <w:tc>
          <w:tcPr>
            <w:tcW w:w="1280" w:type="dxa"/>
            <w:vAlign w:val="bottom"/>
          </w:tcPr>
          <w:p>
            <w:pPr>
              <w:jc w:val="right"/>
              <w:spacing w:after="0"/>
              <w:rPr>
                <w:rFonts w:ascii="Arial" w:cs="Arial" w:eastAsia="Arial" w:hAnsi="Arial"/>
                <w:sz w:val="17"/>
                <w:szCs w:val="17"/>
                <w:color w:val="auto"/>
              </w:rPr>
            </w:pPr>
            <w:hyperlink w:anchor="page35">
              <w:r>
                <w:rPr>
                  <w:rFonts w:ascii="Arial" w:cs="Arial" w:eastAsia="Arial" w:hAnsi="Arial"/>
                  <w:sz w:val="17"/>
                  <w:szCs w:val="17"/>
                  <w:color w:val="auto"/>
                </w:rPr>
                <w:t>32</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79"/>
        </w:trPr>
        <w:tc>
          <w:tcPr>
            <w:tcW w:w="900" w:type="dxa"/>
            <w:vAlign w:val="bottom"/>
            <w:tcBorders>
              <w:bottom w:val="single" w:sz="8" w:color="9A9A9A"/>
            </w:tcBorders>
          </w:tcPr>
          <w:p>
            <w:pPr>
              <w:spacing w:after="0"/>
              <w:rPr>
                <w:sz w:val="24"/>
                <w:szCs w:val="24"/>
                <w:color w:val="auto"/>
              </w:rPr>
            </w:pPr>
          </w:p>
        </w:tc>
        <w:tc>
          <w:tcPr>
            <w:tcW w:w="9040" w:type="dxa"/>
            <w:vAlign w:val="bottom"/>
            <w:tcBorders>
              <w:bottom w:val="single" w:sz="8" w:color="9A9A9A"/>
            </w:tcBorders>
          </w:tcPr>
          <w:p>
            <w:pPr>
              <w:spacing w:after="0"/>
              <w:rPr>
                <w:sz w:val="24"/>
                <w:szCs w:val="24"/>
                <w:color w:val="auto"/>
              </w:rPr>
            </w:pPr>
          </w:p>
        </w:tc>
        <w:tc>
          <w:tcPr>
            <w:tcW w:w="128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7118350</wp:posOffset>
            </wp:positionH>
            <wp:positionV relativeFrom="paragraph">
              <wp:posOffset>-28575</wp:posOffset>
            </wp:positionV>
            <wp:extent cx="33655" cy="419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-8890</wp:posOffset>
            </wp:positionH>
            <wp:positionV relativeFrom="paragraph">
              <wp:posOffset>-28575</wp:posOffset>
            </wp:positionV>
            <wp:extent cx="33655" cy="419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2" w:name="page3"/>
    <w:bookmarkEnd w:id="2"/>
    <w:p>
      <w:pPr>
        <w:spacing w:after="0"/>
        <w:rPr>
          <w:sz w:val="20"/>
          <w:szCs w:val="20"/>
          <w:color w:val="auto"/>
        </w:rPr>
      </w:pPr>
      <w:r>
        <w:rPr>
          <w:rFonts w:ascii="Arial" w:cs="Arial" w:eastAsia="Arial" w:hAnsi="Arial"/>
          <w:sz w:val="17"/>
          <w:szCs w:val="17"/>
          <w:b w:val="1"/>
          <w:bCs w:val="1"/>
          <w:color w:val="auto"/>
        </w:rPr>
        <w:t>PART I - FINANCIAL INFORMATION</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1. Financial Statements.</w:t>
      </w:r>
    </w:p>
    <w:p>
      <w:pPr>
        <w:spacing w:after="0" w:line="275" w:lineRule="exact"/>
        <w:rPr>
          <w:sz w:val="20"/>
          <w:szCs w:val="20"/>
          <w:color w:val="auto"/>
        </w:rPr>
      </w:pPr>
    </w:p>
    <w:p>
      <w:pPr>
        <w:jc w:val="center"/>
        <w:ind w:right="80"/>
        <w:spacing w:after="0"/>
        <w:rPr>
          <w:sz w:val="20"/>
          <w:szCs w:val="20"/>
          <w:color w:val="auto"/>
        </w:rPr>
      </w:pPr>
      <w:r>
        <w:rPr>
          <w:rFonts w:ascii="Arial" w:cs="Arial" w:eastAsia="Arial" w:hAnsi="Arial"/>
          <w:sz w:val="17"/>
          <w:szCs w:val="17"/>
          <w:b w:val="1"/>
          <w:bCs w:val="1"/>
          <w:color w:val="auto"/>
        </w:rPr>
        <w:t>GLOBALSTAR, INC.</w:t>
      </w:r>
    </w:p>
    <w:p>
      <w:pPr>
        <w:spacing w:after="0" w:line="6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STATEMENTS OF OPERATIONS AND COMPREHENSIVE INCOME (LOSS)</w:t>
      </w:r>
    </w:p>
    <w:p>
      <w:pPr>
        <w:spacing w:after="0" w:line="6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 except per share data)</w:t>
      </w:r>
    </w:p>
    <w:p>
      <w:pPr>
        <w:spacing w:after="0" w:line="66"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(Unaudited)</w:t>
      </w:r>
    </w:p>
    <w:p>
      <w:pPr>
        <w:spacing w:after="0" w:line="58"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5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80" w:type="dxa"/>
            <w:vAlign w:val="bottom"/>
            <w:gridSpan w:val="5"/>
          </w:tcPr>
          <w:p>
            <w:pPr>
              <w:ind w:left="540"/>
              <w:spacing w:after="0"/>
              <w:rPr>
                <w:sz w:val="20"/>
                <w:szCs w:val="20"/>
                <w:color w:val="auto"/>
              </w:rPr>
            </w:pPr>
            <w:r>
              <w:rPr>
                <w:rFonts w:ascii="Arial" w:cs="Arial" w:eastAsia="Arial" w:hAnsi="Arial"/>
                <w:sz w:val="17"/>
                <w:szCs w:val="17"/>
                <w:b w:val="1"/>
                <w:bCs w:val="1"/>
                <w:color w:val="auto"/>
              </w:rPr>
              <w:t>Three Months Ended</w:t>
            </w:r>
          </w:p>
        </w:tc>
        <w:tc>
          <w:tcPr>
            <w:tcW w:w="160" w:type="dxa"/>
            <w:vAlign w:val="bottom"/>
          </w:tcPr>
          <w:p>
            <w:pPr>
              <w:spacing w:after="0"/>
              <w:rPr>
                <w:sz w:val="19"/>
                <w:szCs w:val="19"/>
                <w:color w:val="auto"/>
              </w:rPr>
            </w:pPr>
          </w:p>
        </w:tc>
        <w:tc>
          <w:tcPr>
            <w:tcW w:w="2780" w:type="dxa"/>
            <w:vAlign w:val="bottom"/>
            <w:gridSpan w:val="4"/>
          </w:tcPr>
          <w:p>
            <w:pPr>
              <w:jc w:val="right"/>
              <w:ind w:right="655"/>
              <w:spacing w:after="0"/>
              <w:rPr>
                <w:sz w:val="20"/>
                <w:szCs w:val="20"/>
                <w:color w:val="auto"/>
              </w:rPr>
            </w:pPr>
            <w:r>
              <w:rPr>
                <w:rFonts w:ascii="Arial" w:cs="Arial" w:eastAsia="Arial" w:hAnsi="Arial"/>
                <w:sz w:val="17"/>
                <w:szCs w:val="17"/>
                <w:b w:val="1"/>
                <w:bCs w:val="1"/>
                <w:color w:val="auto"/>
              </w:rPr>
              <w:t>Nine Months Ended</w:t>
            </w:r>
          </w:p>
        </w:tc>
        <w:tc>
          <w:tcPr>
            <w:tcW w:w="0" w:type="dxa"/>
            <w:vAlign w:val="bottom"/>
          </w:tcPr>
          <w:p>
            <w:pPr>
              <w:spacing w:after="0"/>
              <w:rPr>
                <w:sz w:val="1"/>
                <w:szCs w:val="1"/>
                <w:color w:val="auto"/>
              </w:rPr>
            </w:pPr>
          </w:p>
        </w:tc>
      </w:tr>
      <w:tr>
        <w:trPr>
          <w:trHeight w:val="164"/>
        </w:trPr>
        <w:tc>
          <w:tcPr>
            <w:tcW w:w="5280" w:type="dxa"/>
            <w:vAlign w:val="bottom"/>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1360" w:type="dxa"/>
            <w:vAlign w:val="bottom"/>
            <w:tcBorders>
              <w:top w:val="single" w:sz="8" w:color="auto"/>
            </w:tcBorders>
            <w:gridSpan w:val="2"/>
          </w:tcPr>
          <w:p>
            <w:pPr>
              <w:ind w:left="40"/>
              <w:spacing w:after="0" w:line="164" w:lineRule="exact"/>
              <w:rPr>
                <w:sz w:val="20"/>
                <w:szCs w:val="20"/>
                <w:color w:val="auto"/>
              </w:rPr>
            </w:pPr>
            <w:r>
              <w:rPr>
                <w:rFonts w:ascii="Arial" w:cs="Arial" w:eastAsia="Arial" w:hAnsi="Arial"/>
                <w:sz w:val="17"/>
                <w:szCs w:val="17"/>
                <w:b w:val="1"/>
                <w:bCs w:val="1"/>
                <w:color w:val="auto"/>
              </w:rPr>
              <w:t>September 30,</w:t>
            </w:r>
          </w:p>
        </w:tc>
        <w:tc>
          <w:tcPr>
            <w:tcW w:w="160" w:type="dxa"/>
            <w:vAlign w:val="bottom"/>
            <w:tcBorders>
              <w:top w:val="single" w:sz="8" w:color="auto"/>
            </w:tcBorders>
          </w:tcPr>
          <w:p>
            <w:pPr>
              <w:spacing w:after="0"/>
              <w:rPr>
                <w:sz w:val="14"/>
                <w:szCs w:val="14"/>
                <w:color w:val="auto"/>
              </w:rPr>
            </w:pPr>
          </w:p>
        </w:tc>
        <w:tc>
          <w:tcPr>
            <w:tcW w:w="1280" w:type="dxa"/>
            <w:vAlign w:val="bottom"/>
            <w:tcBorders>
              <w:top w:val="single" w:sz="8" w:color="auto"/>
            </w:tcBorders>
          </w:tcPr>
          <w:p>
            <w:pPr>
              <w:jc w:val="right"/>
              <w:ind w:right="115"/>
              <w:spacing w:after="0" w:line="164" w:lineRule="exact"/>
              <w:rPr>
                <w:sz w:val="20"/>
                <w:szCs w:val="20"/>
                <w:color w:val="auto"/>
              </w:rPr>
            </w:pPr>
            <w:r>
              <w:rPr>
                <w:rFonts w:ascii="Arial" w:cs="Arial" w:eastAsia="Arial" w:hAnsi="Arial"/>
                <w:sz w:val="17"/>
                <w:szCs w:val="17"/>
                <w:b w:val="1"/>
                <w:bCs w:val="1"/>
                <w:color w:val="auto"/>
                <w:w w:val="91"/>
              </w:rPr>
              <w:t>September 30,</w:t>
            </w:r>
          </w:p>
        </w:tc>
        <w:tc>
          <w:tcPr>
            <w:tcW w:w="8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1360" w:type="dxa"/>
            <w:vAlign w:val="bottom"/>
            <w:tcBorders>
              <w:top w:val="single" w:sz="8" w:color="auto"/>
            </w:tcBorders>
            <w:gridSpan w:val="2"/>
          </w:tcPr>
          <w:p>
            <w:pPr>
              <w:ind w:left="40"/>
              <w:spacing w:after="0" w:line="164" w:lineRule="exact"/>
              <w:rPr>
                <w:sz w:val="20"/>
                <w:szCs w:val="20"/>
                <w:color w:val="auto"/>
              </w:rPr>
            </w:pPr>
            <w:r>
              <w:rPr>
                <w:rFonts w:ascii="Arial" w:cs="Arial" w:eastAsia="Arial" w:hAnsi="Arial"/>
                <w:sz w:val="17"/>
                <w:szCs w:val="17"/>
                <w:b w:val="1"/>
                <w:bCs w:val="1"/>
                <w:color w:val="auto"/>
              </w:rPr>
              <w:t>September 30,</w:t>
            </w:r>
          </w:p>
        </w:tc>
        <w:tc>
          <w:tcPr>
            <w:tcW w:w="140" w:type="dxa"/>
            <w:vAlign w:val="bottom"/>
            <w:tcBorders>
              <w:top w:val="single" w:sz="8" w:color="auto"/>
            </w:tcBorders>
          </w:tcPr>
          <w:p>
            <w:pPr>
              <w:spacing w:after="0"/>
              <w:rPr>
                <w:sz w:val="14"/>
                <w:szCs w:val="14"/>
                <w:color w:val="auto"/>
              </w:rPr>
            </w:pPr>
          </w:p>
        </w:tc>
        <w:tc>
          <w:tcPr>
            <w:tcW w:w="1280" w:type="dxa"/>
            <w:vAlign w:val="bottom"/>
            <w:tcBorders>
              <w:top w:val="single" w:sz="8" w:color="auto"/>
            </w:tcBorders>
          </w:tcPr>
          <w:p>
            <w:pPr>
              <w:jc w:val="right"/>
              <w:ind w:right="95"/>
              <w:spacing w:after="0" w:line="164" w:lineRule="exact"/>
              <w:rPr>
                <w:sz w:val="20"/>
                <w:szCs w:val="20"/>
                <w:color w:val="auto"/>
              </w:rPr>
            </w:pPr>
            <w:r>
              <w:rPr>
                <w:rFonts w:ascii="Arial" w:cs="Arial" w:eastAsia="Arial" w:hAnsi="Arial"/>
                <w:sz w:val="17"/>
                <w:szCs w:val="17"/>
                <w:b w:val="1"/>
                <w:bCs w:val="1"/>
                <w:color w:val="auto"/>
                <w:w w:val="92"/>
              </w:rPr>
              <w:t>September 30,</w:t>
            </w:r>
          </w:p>
        </w:tc>
        <w:tc>
          <w:tcPr>
            <w:tcW w:w="0" w:type="dxa"/>
            <w:vAlign w:val="bottom"/>
          </w:tcPr>
          <w:p>
            <w:pPr>
              <w:spacing w:after="0"/>
              <w:rPr>
                <w:sz w:val="1"/>
                <w:szCs w:val="1"/>
                <w:color w:val="auto"/>
              </w:rPr>
            </w:pPr>
          </w:p>
        </w:tc>
      </w:tr>
      <w:tr>
        <w:trPr>
          <w:trHeight w:val="220"/>
        </w:trPr>
        <w:tc>
          <w:tcPr>
            <w:tcW w:w="528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455"/>
              <w:spacing w:after="0"/>
              <w:rPr>
                <w:sz w:val="20"/>
                <w:szCs w:val="20"/>
                <w:color w:val="auto"/>
              </w:rPr>
            </w:pPr>
            <w:r>
              <w:rPr>
                <w:rFonts w:ascii="Arial" w:cs="Arial" w:eastAsia="Arial" w:hAnsi="Arial"/>
                <w:sz w:val="17"/>
                <w:szCs w:val="17"/>
                <w:b w:val="1"/>
                <w:bCs w:val="1"/>
                <w:color w:val="auto"/>
              </w:rPr>
              <w:t>2021</w:t>
            </w:r>
          </w:p>
        </w:tc>
        <w:tc>
          <w:tcPr>
            <w:tcW w:w="8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455"/>
              <w:spacing w:after="0"/>
              <w:rPr>
                <w:sz w:val="20"/>
                <w:szCs w:val="20"/>
                <w:color w:val="auto"/>
              </w:rPr>
            </w:pPr>
            <w:r>
              <w:rPr>
                <w:rFonts w:ascii="Arial" w:cs="Arial" w:eastAsia="Arial" w:hAnsi="Arial"/>
                <w:sz w:val="17"/>
                <w:szCs w:val="17"/>
                <w:b w:val="1"/>
                <w:bCs w:val="1"/>
                <w:color w:val="auto"/>
              </w:rPr>
              <w:t>2020</w:t>
            </w:r>
          </w:p>
        </w:tc>
        <w:tc>
          <w:tcPr>
            <w:tcW w:w="8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ind w:right="455"/>
              <w:spacing w:after="0"/>
              <w:rPr>
                <w:sz w:val="20"/>
                <w:szCs w:val="20"/>
                <w:color w:val="auto"/>
              </w:rPr>
            </w:pPr>
            <w:r>
              <w:rPr>
                <w:rFonts w:ascii="Arial" w:cs="Arial" w:eastAsia="Arial" w:hAnsi="Arial"/>
                <w:sz w:val="17"/>
                <w:szCs w:val="17"/>
                <w:b w:val="1"/>
                <w:bCs w:val="1"/>
                <w:color w:val="auto"/>
              </w:rPr>
              <w:t>2021</w:t>
            </w: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455"/>
              <w:spacing w:after="0"/>
              <w:rPr>
                <w:sz w:val="20"/>
                <w:szCs w:val="20"/>
                <w:color w:val="auto"/>
              </w:rPr>
            </w:pPr>
            <w:r>
              <w:rPr>
                <w:rFonts w:ascii="Arial" w:cs="Arial" w:eastAsia="Arial" w:hAnsi="Arial"/>
                <w:sz w:val="17"/>
                <w:szCs w:val="17"/>
                <w:b w:val="1"/>
                <w:bCs w:val="1"/>
                <w:color w:val="auto"/>
              </w:rPr>
              <w:t>2020</w:t>
            </w:r>
          </w:p>
        </w:tc>
        <w:tc>
          <w:tcPr>
            <w:tcW w:w="0" w:type="dxa"/>
            <w:vAlign w:val="bottom"/>
          </w:tcPr>
          <w:p>
            <w:pPr>
              <w:spacing w:after="0"/>
              <w:rPr>
                <w:sz w:val="1"/>
                <w:szCs w:val="1"/>
                <w:color w:val="auto"/>
              </w:rPr>
            </w:pPr>
          </w:p>
        </w:tc>
      </w:tr>
      <w:tr>
        <w:trPr>
          <w:trHeight w:val="216"/>
        </w:trPr>
        <w:tc>
          <w:tcPr>
            <w:tcW w:w="5280" w:type="dxa"/>
            <w:vAlign w:val="bottom"/>
          </w:tcPr>
          <w:p>
            <w:pPr>
              <w:ind w:left="20"/>
              <w:spacing w:after="0"/>
              <w:rPr>
                <w:sz w:val="20"/>
                <w:szCs w:val="20"/>
                <w:color w:val="auto"/>
              </w:rPr>
            </w:pPr>
            <w:r>
              <w:rPr>
                <w:rFonts w:ascii="Arial" w:cs="Arial" w:eastAsia="Arial" w:hAnsi="Arial"/>
                <w:sz w:val="17"/>
                <w:szCs w:val="17"/>
                <w:color w:val="auto"/>
              </w:rPr>
              <w:t>Revenue:</w:t>
            </w:r>
          </w:p>
        </w:tc>
        <w:tc>
          <w:tcPr>
            <w:tcW w:w="1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2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Service revenue</w:t>
            </w: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27,848</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28,385</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76,551</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84,410</w:t>
            </w:r>
          </w:p>
        </w:tc>
        <w:tc>
          <w:tcPr>
            <w:tcW w:w="0" w:type="dxa"/>
            <w:vAlign w:val="bottom"/>
          </w:tcPr>
          <w:p>
            <w:pPr>
              <w:spacing w:after="0"/>
              <w:rPr>
                <w:sz w:val="1"/>
                <w:szCs w:val="1"/>
                <w:color w:val="auto"/>
              </w:rPr>
            </w:pPr>
          </w:p>
        </w:tc>
      </w:tr>
      <w:tr>
        <w:trPr>
          <w:trHeight w:val="221"/>
        </w:trPr>
        <w:tc>
          <w:tcPr>
            <w:tcW w:w="528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Subscriber equipment sales</w:t>
            </w:r>
          </w:p>
        </w:tc>
        <w:tc>
          <w:tcPr>
            <w:tcW w:w="14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4,766</w:t>
            </w:r>
          </w:p>
        </w:tc>
        <w:tc>
          <w:tcPr>
            <w:tcW w:w="8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4,372</w:t>
            </w:r>
          </w:p>
        </w:tc>
        <w:tc>
          <w:tcPr>
            <w:tcW w:w="8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13,271</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10,905</w:t>
            </w: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ind w:left="460"/>
              <w:spacing w:after="0"/>
              <w:rPr>
                <w:sz w:val="20"/>
                <w:szCs w:val="20"/>
                <w:color w:val="auto"/>
              </w:rPr>
            </w:pPr>
            <w:r>
              <w:rPr>
                <w:rFonts w:ascii="Arial" w:cs="Arial" w:eastAsia="Arial" w:hAnsi="Arial"/>
                <w:sz w:val="17"/>
                <w:szCs w:val="17"/>
                <w:color w:val="auto"/>
              </w:rPr>
              <w:t>Total revenue</w:t>
            </w:r>
          </w:p>
        </w:tc>
        <w:tc>
          <w:tcPr>
            <w:tcW w:w="14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32,614</w:t>
            </w:r>
          </w:p>
        </w:tc>
        <w:tc>
          <w:tcPr>
            <w:tcW w:w="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32,757</w:t>
            </w:r>
          </w:p>
        </w:tc>
        <w:tc>
          <w:tcPr>
            <w:tcW w:w="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89,822</w:t>
            </w:r>
          </w:p>
        </w:tc>
        <w:tc>
          <w:tcPr>
            <w:tcW w:w="1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95,315</w:t>
            </w:r>
          </w:p>
        </w:tc>
        <w:tc>
          <w:tcPr>
            <w:tcW w:w="0" w:type="dxa"/>
            <w:vAlign w:val="bottom"/>
          </w:tcPr>
          <w:p>
            <w:pPr>
              <w:spacing w:after="0"/>
              <w:rPr>
                <w:sz w:val="1"/>
                <w:szCs w:val="1"/>
                <w:color w:val="auto"/>
              </w:rPr>
            </w:pPr>
          </w:p>
        </w:tc>
      </w:tr>
      <w:tr>
        <w:trPr>
          <w:trHeight w:val="214"/>
        </w:trPr>
        <w:tc>
          <w:tcPr>
            <w:tcW w:w="5280" w:type="dxa"/>
            <w:vAlign w:val="bottom"/>
          </w:tcPr>
          <w:p>
            <w:pPr>
              <w:ind w:left="20"/>
              <w:spacing w:after="0"/>
              <w:rPr>
                <w:sz w:val="20"/>
                <w:szCs w:val="20"/>
                <w:color w:val="auto"/>
              </w:rPr>
            </w:pPr>
            <w:r>
              <w:rPr>
                <w:rFonts w:ascii="Arial" w:cs="Arial" w:eastAsia="Arial" w:hAnsi="Arial"/>
                <w:sz w:val="17"/>
                <w:szCs w:val="17"/>
                <w:color w:val="auto"/>
              </w:rPr>
              <w:t>Operating expenses:</w:t>
            </w:r>
          </w:p>
        </w:tc>
        <w:tc>
          <w:tcPr>
            <w:tcW w:w="1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5"/>
        </w:trPr>
        <w:tc>
          <w:tcPr>
            <w:tcW w:w="5280" w:type="dxa"/>
            <w:vAlign w:val="bottom"/>
            <w:shd w:val="clear" w:color="auto" w:fill="CCEEFF"/>
          </w:tcPr>
          <w:p>
            <w:pPr>
              <w:ind w:left="220"/>
              <w:spacing w:after="0" w:line="175" w:lineRule="exact"/>
              <w:rPr>
                <w:sz w:val="20"/>
                <w:szCs w:val="20"/>
                <w:color w:val="auto"/>
              </w:rPr>
            </w:pPr>
            <w:r>
              <w:rPr>
                <w:rFonts w:ascii="Arial" w:cs="Arial" w:eastAsia="Arial" w:hAnsi="Arial"/>
                <w:sz w:val="17"/>
                <w:szCs w:val="17"/>
                <w:color w:val="auto"/>
                <w:w w:val="94"/>
              </w:rPr>
              <w:t>Cost of services (exclusive of depreciation, amortization, and accretion</w:t>
            </w:r>
          </w:p>
        </w:tc>
        <w:tc>
          <w:tcPr>
            <w:tcW w:w="140" w:type="dxa"/>
            <w:vAlign w:val="bottom"/>
            <w:shd w:val="clear" w:color="auto" w:fill="CCEEFF"/>
          </w:tcPr>
          <w:p>
            <w:pPr>
              <w:spacing w:after="0"/>
              <w:rPr>
                <w:sz w:val="15"/>
                <w:szCs w:val="15"/>
                <w:color w:val="auto"/>
              </w:rPr>
            </w:pPr>
          </w:p>
        </w:tc>
        <w:tc>
          <w:tcPr>
            <w:tcW w:w="12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9,648</w:t>
            </w:r>
          </w:p>
        </w:tc>
        <w:tc>
          <w:tcPr>
            <w:tcW w:w="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2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8,580</w:t>
            </w:r>
          </w:p>
        </w:tc>
        <w:tc>
          <w:tcPr>
            <w:tcW w:w="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2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27,848</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2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25,955</w:t>
            </w:r>
          </w:p>
        </w:tc>
        <w:tc>
          <w:tcPr>
            <w:tcW w:w="0" w:type="dxa"/>
            <w:vAlign w:val="bottom"/>
          </w:tcPr>
          <w:p>
            <w:pPr>
              <w:spacing w:after="0"/>
              <w:rPr>
                <w:sz w:val="1"/>
                <w:szCs w:val="1"/>
                <w:color w:val="auto"/>
              </w:rPr>
            </w:pPr>
          </w:p>
        </w:tc>
      </w:tr>
      <w:tr>
        <w:trPr>
          <w:trHeight w:val="218"/>
        </w:trPr>
        <w:tc>
          <w:tcPr>
            <w:tcW w:w="52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shown separately below)</w:t>
            </w:r>
          </w:p>
        </w:tc>
        <w:tc>
          <w:tcPr>
            <w:tcW w:w="140" w:type="dxa"/>
            <w:vAlign w:val="bottom"/>
            <w:shd w:val="clear" w:color="auto" w:fill="CCEEFF"/>
          </w:tcPr>
          <w:p>
            <w:pPr>
              <w:spacing w:after="0"/>
              <w:rPr>
                <w:sz w:val="18"/>
                <w:szCs w:val="18"/>
                <w:color w:val="auto"/>
              </w:rPr>
            </w:pPr>
          </w:p>
        </w:tc>
        <w:tc>
          <w:tcPr>
            <w:tcW w:w="1280" w:type="dxa"/>
            <w:vAlign w:val="bottom"/>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80" w:type="dxa"/>
            <w:vAlign w:val="bottom"/>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6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8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5280" w:type="dxa"/>
            <w:vAlign w:val="bottom"/>
          </w:tcPr>
          <w:p>
            <w:pPr>
              <w:ind w:left="220"/>
              <w:spacing w:after="0"/>
              <w:rPr>
                <w:sz w:val="20"/>
                <w:szCs w:val="20"/>
                <w:color w:val="auto"/>
              </w:rPr>
            </w:pPr>
            <w:r>
              <w:rPr>
                <w:rFonts w:ascii="Arial" w:cs="Arial" w:eastAsia="Arial" w:hAnsi="Arial"/>
                <w:sz w:val="17"/>
                <w:szCs w:val="17"/>
                <w:color w:val="auto"/>
              </w:rPr>
              <w:t>Cost of subscriber equipment sales</w:t>
            </w:r>
          </w:p>
        </w:tc>
        <w:tc>
          <w:tcPr>
            <w:tcW w:w="14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4,099</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4,032</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9,856</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9,615</w:t>
            </w:r>
          </w:p>
        </w:tc>
        <w:tc>
          <w:tcPr>
            <w:tcW w:w="0" w:type="dxa"/>
            <w:vAlign w:val="bottom"/>
          </w:tcPr>
          <w:p>
            <w:pPr>
              <w:spacing w:after="0"/>
              <w:rPr>
                <w:sz w:val="1"/>
                <w:szCs w:val="1"/>
                <w:color w:val="auto"/>
              </w:rPr>
            </w:pPr>
          </w:p>
        </w:tc>
      </w:tr>
      <w:tr>
        <w:trPr>
          <w:trHeight w:val="223"/>
        </w:trPr>
        <w:tc>
          <w:tcPr>
            <w:tcW w:w="5280" w:type="dxa"/>
            <w:vAlign w:val="bottom"/>
            <w:shd w:val="clear" w:color="auto" w:fill="CCEEFF"/>
          </w:tcPr>
          <w:p>
            <w:pPr>
              <w:ind w:left="220"/>
              <w:spacing w:after="0"/>
              <w:rPr>
                <w:sz w:val="20"/>
                <w:szCs w:val="20"/>
                <w:color w:val="auto"/>
              </w:rPr>
            </w:pPr>
            <w:r>
              <w:rPr>
                <w:rFonts w:ascii="Arial" w:cs="Arial" w:eastAsia="Arial" w:hAnsi="Arial"/>
                <w:sz w:val="17"/>
                <w:szCs w:val="17"/>
                <w:color w:val="auto"/>
                <w:w w:val="94"/>
              </w:rPr>
              <w:t>Cost of subscriber equipment sales - reduction in the value of inventory</w:t>
            </w:r>
          </w:p>
        </w:tc>
        <w:tc>
          <w:tcPr>
            <w:tcW w:w="14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71</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853</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1"/>
        </w:trPr>
        <w:tc>
          <w:tcPr>
            <w:tcW w:w="5280" w:type="dxa"/>
            <w:vAlign w:val="bottom"/>
          </w:tcPr>
          <w:p>
            <w:pPr>
              <w:ind w:left="220"/>
              <w:spacing w:after="0"/>
              <w:rPr>
                <w:sz w:val="20"/>
                <w:szCs w:val="20"/>
                <w:color w:val="auto"/>
              </w:rPr>
            </w:pPr>
            <w:r>
              <w:rPr>
                <w:rFonts w:ascii="Arial" w:cs="Arial" w:eastAsia="Arial" w:hAnsi="Arial"/>
                <w:sz w:val="17"/>
                <w:szCs w:val="17"/>
                <w:color w:val="auto"/>
              </w:rPr>
              <w:t>Marketing, general and administrative</w:t>
            </w:r>
          </w:p>
        </w:tc>
        <w:tc>
          <w:tcPr>
            <w:tcW w:w="14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9,196</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10,063</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28,974</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31,407</w:t>
            </w:r>
          </w:p>
        </w:tc>
        <w:tc>
          <w:tcPr>
            <w:tcW w:w="0" w:type="dxa"/>
            <w:vAlign w:val="bottom"/>
          </w:tcPr>
          <w:p>
            <w:pPr>
              <w:spacing w:after="0"/>
              <w:rPr>
                <w:sz w:val="1"/>
                <w:szCs w:val="1"/>
                <w:color w:val="auto"/>
              </w:rPr>
            </w:pPr>
          </w:p>
        </w:tc>
      </w:tr>
      <w:tr>
        <w:trPr>
          <w:trHeight w:val="223"/>
        </w:trPr>
        <w:tc>
          <w:tcPr>
            <w:tcW w:w="52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Reduction in value of long-lived assets</w:t>
            </w:r>
          </w:p>
        </w:tc>
        <w:tc>
          <w:tcPr>
            <w:tcW w:w="14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242</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242</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1"/>
        </w:trPr>
        <w:tc>
          <w:tcPr>
            <w:tcW w:w="528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Depreciation, amortization and accretion</w:t>
            </w:r>
          </w:p>
        </w:tc>
        <w:tc>
          <w:tcPr>
            <w:tcW w:w="14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24,072</w:t>
            </w:r>
          </w:p>
        </w:tc>
        <w:tc>
          <w:tcPr>
            <w:tcW w:w="8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24,717</w:t>
            </w:r>
          </w:p>
        </w:tc>
        <w:tc>
          <w:tcPr>
            <w:tcW w:w="8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72,031</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72,437</w:t>
            </w: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ind w:left="460"/>
              <w:spacing w:after="0"/>
              <w:rPr>
                <w:sz w:val="20"/>
                <w:szCs w:val="20"/>
                <w:color w:val="auto"/>
              </w:rPr>
            </w:pPr>
            <w:r>
              <w:rPr>
                <w:rFonts w:ascii="Arial" w:cs="Arial" w:eastAsia="Arial" w:hAnsi="Arial"/>
                <w:sz w:val="17"/>
                <w:szCs w:val="17"/>
                <w:color w:val="auto"/>
              </w:rPr>
              <w:t>Total operating expenses</w:t>
            </w:r>
          </w:p>
        </w:tc>
        <w:tc>
          <w:tcPr>
            <w:tcW w:w="14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47,328</w:t>
            </w:r>
          </w:p>
        </w:tc>
        <w:tc>
          <w:tcPr>
            <w:tcW w:w="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47,392</w:t>
            </w:r>
          </w:p>
        </w:tc>
        <w:tc>
          <w:tcPr>
            <w:tcW w:w="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139,804</w:t>
            </w:r>
          </w:p>
        </w:tc>
        <w:tc>
          <w:tcPr>
            <w:tcW w:w="1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139,414</w:t>
            </w:r>
          </w:p>
        </w:tc>
        <w:tc>
          <w:tcPr>
            <w:tcW w:w="0" w:type="dxa"/>
            <w:vAlign w:val="bottom"/>
          </w:tcPr>
          <w:p>
            <w:pPr>
              <w:spacing w:after="0"/>
              <w:rPr>
                <w:sz w:val="1"/>
                <w:szCs w:val="1"/>
                <w:color w:val="auto"/>
              </w:rPr>
            </w:pPr>
          </w:p>
        </w:tc>
      </w:tr>
      <w:tr>
        <w:trPr>
          <w:trHeight w:val="214"/>
        </w:trPr>
        <w:tc>
          <w:tcPr>
            <w:tcW w:w="528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Loss from operations</w:t>
            </w:r>
          </w:p>
        </w:tc>
        <w:tc>
          <w:tcPr>
            <w:tcW w:w="14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(14,714)</w:t>
            </w:r>
          </w:p>
        </w:tc>
        <w:tc>
          <w:tcPr>
            <w:tcW w:w="8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(14,635)</w:t>
            </w:r>
          </w:p>
        </w:tc>
        <w:tc>
          <w:tcPr>
            <w:tcW w:w="8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(49,982)</w:t>
            </w:r>
          </w:p>
        </w:tc>
        <w:tc>
          <w:tcPr>
            <w:tcW w:w="1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(44,099)</w:t>
            </w: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ind w:left="20"/>
              <w:spacing w:after="0"/>
              <w:rPr>
                <w:sz w:val="20"/>
                <w:szCs w:val="20"/>
                <w:color w:val="auto"/>
              </w:rPr>
            </w:pPr>
            <w:r>
              <w:rPr>
                <w:rFonts w:ascii="Arial" w:cs="Arial" w:eastAsia="Arial" w:hAnsi="Arial"/>
                <w:sz w:val="17"/>
                <w:szCs w:val="17"/>
                <w:color w:val="auto"/>
              </w:rPr>
              <w:t>Other (expense) income:</w:t>
            </w:r>
          </w:p>
        </w:tc>
        <w:tc>
          <w:tcPr>
            <w:tcW w:w="14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5280" w:type="dxa"/>
            <w:vAlign w:val="bottom"/>
          </w:tcPr>
          <w:p>
            <w:pPr>
              <w:ind w:left="220"/>
              <w:spacing w:after="0"/>
              <w:rPr>
                <w:sz w:val="20"/>
                <w:szCs w:val="20"/>
                <w:color w:val="auto"/>
              </w:rPr>
            </w:pPr>
            <w:r>
              <w:rPr>
                <w:rFonts w:ascii="Arial" w:cs="Arial" w:eastAsia="Arial" w:hAnsi="Arial"/>
                <w:sz w:val="17"/>
                <w:szCs w:val="17"/>
                <w:color w:val="auto"/>
              </w:rPr>
              <w:t>(Loss) gain on extinguishment of debt</w:t>
            </w:r>
          </w:p>
        </w:tc>
        <w:tc>
          <w:tcPr>
            <w:tcW w:w="14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(829)</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1,835</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3"/>
        </w:trPr>
        <w:tc>
          <w:tcPr>
            <w:tcW w:w="52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Interest income and expense, net of amounts capitalized</w:t>
            </w:r>
          </w:p>
        </w:tc>
        <w:tc>
          <w:tcPr>
            <w:tcW w:w="14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(11,406)</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(11,398)</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(33,758)</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(36,916)</w:t>
            </w:r>
          </w:p>
        </w:tc>
        <w:tc>
          <w:tcPr>
            <w:tcW w:w="0" w:type="dxa"/>
            <w:vAlign w:val="bottom"/>
          </w:tcPr>
          <w:p>
            <w:pPr>
              <w:spacing w:after="0"/>
              <w:rPr>
                <w:sz w:val="1"/>
                <w:szCs w:val="1"/>
                <w:color w:val="auto"/>
              </w:rPr>
            </w:pPr>
          </w:p>
        </w:tc>
      </w:tr>
      <w:tr>
        <w:trPr>
          <w:trHeight w:val="221"/>
        </w:trPr>
        <w:tc>
          <w:tcPr>
            <w:tcW w:w="5280" w:type="dxa"/>
            <w:vAlign w:val="bottom"/>
          </w:tcPr>
          <w:p>
            <w:pPr>
              <w:ind w:left="220"/>
              <w:spacing w:after="0"/>
              <w:rPr>
                <w:sz w:val="20"/>
                <w:szCs w:val="20"/>
                <w:color w:val="auto"/>
              </w:rPr>
            </w:pPr>
            <w:r>
              <w:rPr>
                <w:rFonts w:ascii="Arial" w:cs="Arial" w:eastAsia="Arial" w:hAnsi="Arial"/>
                <w:sz w:val="17"/>
                <w:szCs w:val="17"/>
                <w:color w:val="auto"/>
              </w:rPr>
              <w:t>Derivative gain (loss)</w:t>
            </w:r>
          </w:p>
        </w:tc>
        <w:tc>
          <w:tcPr>
            <w:tcW w:w="14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229</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1,225</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(2,210)</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1,564</w:t>
            </w:r>
          </w:p>
        </w:tc>
        <w:tc>
          <w:tcPr>
            <w:tcW w:w="0" w:type="dxa"/>
            <w:vAlign w:val="bottom"/>
          </w:tcPr>
          <w:p>
            <w:pPr>
              <w:spacing w:after="0"/>
              <w:rPr>
                <w:sz w:val="1"/>
                <w:szCs w:val="1"/>
                <w:color w:val="auto"/>
              </w:rPr>
            </w:pPr>
          </w:p>
        </w:tc>
      </w:tr>
      <w:tr>
        <w:trPr>
          <w:trHeight w:val="223"/>
        </w:trPr>
        <w:tc>
          <w:tcPr>
            <w:tcW w:w="52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Foreign currency (loss) gain</w:t>
            </w:r>
          </w:p>
        </w:tc>
        <w:tc>
          <w:tcPr>
            <w:tcW w:w="14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(4,752)</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266</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(4,642)</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(7,373)</w:t>
            </w:r>
          </w:p>
        </w:tc>
        <w:tc>
          <w:tcPr>
            <w:tcW w:w="0" w:type="dxa"/>
            <w:vAlign w:val="bottom"/>
          </w:tcPr>
          <w:p>
            <w:pPr>
              <w:spacing w:after="0"/>
              <w:rPr>
                <w:sz w:val="1"/>
                <w:szCs w:val="1"/>
                <w:color w:val="auto"/>
              </w:rPr>
            </w:pPr>
          </w:p>
        </w:tc>
      </w:tr>
      <w:tr>
        <w:trPr>
          <w:trHeight w:val="221"/>
        </w:trPr>
        <w:tc>
          <w:tcPr>
            <w:tcW w:w="528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Other</w:t>
            </w:r>
          </w:p>
        </w:tc>
        <w:tc>
          <w:tcPr>
            <w:tcW w:w="14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473</w:t>
            </w:r>
          </w:p>
        </w:tc>
        <w:tc>
          <w:tcPr>
            <w:tcW w:w="8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(346)</w:t>
            </w:r>
          </w:p>
        </w:tc>
        <w:tc>
          <w:tcPr>
            <w:tcW w:w="8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407</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(912)</w:t>
            </w: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ind w:left="460"/>
              <w:spacing w:after="0"/>
              <w:rPr>
                <w:sz w:val="20"/>
                <w:szCs w:val="20"/>
                <w:color w:val="auto"/>
              </w:rPr>
            </w:pPr>
            <w:r>
              <w:rPr>
                <w:rFonts w:ascii="Arial" w:cs="Arial" w:eastAsia="Arial" w:hAnsi="Arial"/>
                <w:sz w:val="17"/>
                <w:szCs w:val="17"/>
                <w:color w:val="auto"/>
              </w:rPr>
              <w:t>Total other (expense) income</w:t>
            </w:r>
          </w:p>
        </w:tc>
        <w:tc>
          <w:tcPr>
            <w:tcW w:w="14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(16,285)</w:t>
            </w:r>
          </w:p>
        </w:tc>
        <w:tc>
          <w:tcPr>
            <w:tcW w:w="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(10,253)</w:t>
            </w:r>
          </w:p>
        </w:tc>
        <w:tc>
          <w:tcPr>
            <w:tcW w:w="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(38,368)</w:t>
            </w:r>
          </w:p>
        </w:tc>
        <w:tc>
          <w:tcPr>
            <w:tcW w:w="1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(43,637)</w:t>
            </w:r>
          </w:p>
        </w:tc>
        <w:tc>
          <w:tcPr>
            <w:tcW w:w="0" w:type="dxa"/>
            <w:vAlign w:val="bottom"/>
          </w:tcPr>
          <w:p>
            <w:pPr>
              <w:spacing w:after="0"/>
              <w:rPr>
                <w:sz w:val="1"/>
                <w:szCs w:val="1"/>
                <w:color w:val="auto"/>
              </w:rPr>
            </w:pPr>
          </w:p>
        </w:tc>
      </w:tr>
      <w:tr>
        <w:trPr>
          <w:trHeight w:val="214"/>
        </w:trPr>
        <w:tc>
          <w:tcPr>
            <w:tcW w:w="5280" w:type="dxa"/>
            <w:vAlign w:val="bottom"/>
          </w:tcPr>
          <w:p>
            <w:pPr>
              <w:ind w:left="20"/>
              <w:spacing w:after="0"/>
              <w:rPr>
                <w:sz w:val="20"/>
                <w:szCs w:val="20"/>
                <w:color w:val="auto"/>
              </w:rPr>
            </w:pPr>
            <w:r>
              <w:rPr>
                <w:rFonts w:ascii="Arial" w:cs="Arial" w:eastAsia="Arial" w:hAnsi="Arial"/>
                <w:sz w:val="17"/>
                <w:szCs w:val="17"/>
                <w:color w:val="auto"/>
              </w:rPr>
              <w:t>Loss before income taxes</w:t>
            </w:r>
          </w:p>
        </w:tc>
        <w:tc>
          <w:tcPr>
            <w:tcW w:w="14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(30,999)</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(24,888)</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(88,350)</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(87,736)</w:t>
            </w:r>
          </w:p>
        </w:tc>
        <w:tc>
          <w:tcPr>
            <w:tcW w:w="0" w:type="dxa"/>
            <w:vAlign w:val="bottom"/>
          </w:tcPr>
          <w:p>
            <w:pPr>
              <w:spacing w:after="0"/>
              <w:rPr>
                <w:sz w:val="1"/>
                <w:szCs w:val="1"/>
                <w:color w:val="auto"/>
              </w:rPr>
            </w:pPr>
          </w:p>
        </w:tc>
      </w:tr>
      <w:tr>
        <w:trPr>
          <w:trHeight w:val="222"/>
        </w:trPr>
        <w:tc>
          <w:tcPr>
            <w:tcW w:w="528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Income tax (benefit) expense</w:t>
            </w:r>
          </w:p>
        </w:tc>
        <w:tc>
          <w:tcPr>
            <w:tcW w:w="14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(114)</w:t>
            </w:r>
          </w:p>
        </w:tc>
        <w:tc>
          <w:tcPr>
            <w:tcW w:w="8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58</w:t>
            </w:r>
          </w:p>
        </w:tc>
        <w:tc>
          <w:tcPr>
            <w:tcW w:w="8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317</w:t>
            </w:r>
          </w:p>
        </w:tc>
        <w:tc>
          <w:tcPr>
            <w:tcW w:w="10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169</w:t>
            </w:r>
          </w:p>
        </w:tc>
        <w:tc>
          <w:tcPr>
            <w:tcW w:w="0" w:type="dxa"/>
            <w:vAlign w:val="bottom"/>
          </w:tcPr>
          <w:p>
            <w:pPr>
              <w:spacing w:after="0"/>
              <w:rPr>
                <w:sz w:val="1"/>
                <w:szCs w:val="1"/>
                <w:color w:val="auto"/>
              </w:rPr>
            </w:pPr>
          </w:p>
        </w:tc>
      </w:tr>
      <w:tr>
        <w:trPr>
          <w:trHeight w:val="216"/>
        </w:trPr>
        <w:tc>
          <w:tcPr>
            <w:tcW w:w="5280" w:type="dxa"/>
            <w:vAlign w:val="bottom"/>
          </w:tcPr>
          <w:p>
            <w:pPr>
              <w:ind w:left="20"/>
              <w:spacing w:after="0"/>
              <w:rPr>
                <w:sz w:val="20"/>
                <w:szCs w:val="20"/>
                <w:color w:val="auto"/>
              </w:rPr>
            </w:pPr>
            <w:r>
              <w:rPr>
                <w:rFonts w:ascii="Arial" w:cs="Arial" w:eastAsia="Arial" w:hAnsi="Arial"/>
                <w:sz w:val="17"/>
                <w:szCs w:val="17"/>
                <w:color w:val="auto"/>
              </w:rPr>
              <w:t>Net loss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(30,885)</w:t>
            </w:r>
          </w:p>
        </w:tc>
        <w:tc>
          <w:tcPr>
            <w:tcW w:w="8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(24,946)</w:t>
            </w:r>
          </w:p>
        </w:tc>
        <w:tc>
          <w:tcPr>
            <w:tcW w:w="8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(88,667)</w:t>
            </w:r>
          </w:p>
        </w:tc>
        <w:tc>
          <w:tcPr>
            <w:tcW w:w="1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(87,905)</w:t>
            </w:r>
          </w:p>
        </w:tc>
        <w:tc>
          <w:tcPr>
            <w:tcW w:w="0" w:type="dxa"/>
            <w:vAlign w:val="bottom"/>
          </w:tcPr>
          <w:p>
            <w:pPr>
              <w:spacing w:after="0"/>
              <w:rPr>
                <w:sz w:val="1"/>
                <w:szCs w:val="1"/>
                <w:color w:val="auto"/>
              </w:rPr>
            </w:pPr>
          </w:p>
        </w:tc>
      </w:tr>
      <w:tr>
        <w:trPr>
          <w:trHeight w:val="20"/>
        </w:trPr>
        <w:tc>
          <w:tcPr>
            <w:tcW w:w="528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3"/>
        </w:trPr>
        <w:tc>
          <w:tcPr>
            <w:tcW w:w="528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12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2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2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128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221"/>
        </w:trPr>
        <w:tc>
          <w:tcPr>
            <w:tcW w:w="5280" w:type="dxa"/>
            <w:vAlign w:val="bottom"/>
          </w:tcPr>
          <w:p>
            <w:pPr>
              <w:ind w:left="20"/>
              <w:spacing w:after="0"/>
              <w:rPr>
                <w:sz w:val="20"/>
                <w:szCs w:val="20"/>
                <w:color w:val="auto"/>
              </w:rPr>
            </w:pPr>
            <w:r>
              <w:rPr>
                <w:rFonts w:ascii="Arial" w:cs="Arial" w:eastAsia="Arial" w:hAnsi="Arial"/>
                <w:sz w:val="17"/>
                <w:szCs w:val="17"/>
                <w:color w:val="auto"/>
              </w:rPr>
              <w:t>Other comprehensive income (loss):</w:t>
            </w:r>
          </w:p>
        </w:tc>
        <w:tc>
          <w:tcPr>
            <w:tcW w:w="14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52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Foreign currency translation adjustments</w:t>
            </w:r>
          </w:p>
        </w:tc>
        <w:tc>
          <w:tcPr>
            <w:tcW w:w="14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3,185</w:t>
            </w:r>
          </w:p>
        </w:tc>
        <w:tc>
          <w:tcPr>
            <w:tcW w:w="8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(91)</w:t>
            </w:r>
          </w:p>
        </w:tc>
        <w:tc>
          <w:tcPr>
            <w:tcW w:w="8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3,269</w:t>
            </w:r>
          </w:p>
        </w:tc>
        <w:tc>
          <w:tcPr>
            <w:tcW w:w="10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3,844</w:t>
            </w:r>
          </w:p>
        </w:tc>
        <w:tc>
          <w:tcPr>
            <w:tcW w:w="0" w:type="dxa"/>
            <w:vAlign w:val="bottom"/>
          </w:tcPr>
          <w:p>
            <w:pPr>
              <w:spacing w:after="0"/>
              <w:rPr>
                <w:sz w:val="1"/>
                <w:szCs w:val="1"/>
                <w:color w:val="auto"/>
              </w:rPr>
            </w:pPr>
          </w:p>
        </w:tc>
      </w:tr>
      <w:tr>
        <w:trPr>
          <w:trHeight w:val="216"/>
        </w:trPr>
        <w:tc>
          <w:tcPr>
            <w:tcW w:w="5280" w:type="dxa"/>
            <w:vAlign w:val="bottom"/>
          </w:tcPr>
          <w:p>
            <w:pPr>
              <w:ind w:left="20"/>
              <w:spacing w:after="0"/>
              <w:rPr>
                <w:sz w:val="20"/>
                <w:szCs w:val="20"/>
                <w:color w:val="auto"/>
              </w:rPr>
            </w:pPr>
            <w:r>
              <w:rPr>
                <w:rFonts w:ascii="Arial" w:cs="Arial" w:eastAsia="Arial" w:hAnsi="Arial"/>
                <w:sz w:val="17"/>
                <w:szCs w:val="17"/>
                <w:color w:val="auto"/>
              </w:rPr>
              <w:t>Comprehensive loss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(27,700)</w:t>
            </w:r>
          </w:p>
        </w:tc>
        <w:tc>
          <w:tcPr>
            <w:tcW w:w="8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(25,037)</w:t>
            </w:r>
          </w:p>
        </w:tc>
        <w:tc>
          <w:tcPr>
            <w:tcW w:w="8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(85,398)</w:t>
            </w:r>
          </w:p>
        </w:tc>
        <w:tc>
          <w:tcPr>
            <w:tcW w:w="1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(84,061)</w:t>
            </w:r>
          </w:p>
        </w:tc>
        <w:tc>
          <w:tcPr>
            <w:tcW w:w="0" w:type="dxa"/>
            <w:vAlign w:val="bottom"/>
          </w:tcPr>
          <w:p>
            <w:pPr>
              <w:spacing w:after="0"/>
              <w:rPr>
                <w:sz w:val="1"/>
                <w:szCs w:val="1"/>
                <w:color w:val="auto"/>
              </w:rPr>
            </w:pPr>
          </w:p>
        </w:tc>
      </w:tr>
      <w:tr>
        <w:trPr>
          <w:trHeight w:val="20"/>
        </w:trPr>
        <w:tc>
          <w:tcPr>
            <w:tcW w:w="528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3"/>
        </w:trPr>
        <w:tc>
          <w:tcPr>
            <w:tcW w:w="528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12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2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2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128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221"/>
        </w:trPr>
        <w:tc>
          <w:tcPr>
            <w:tcW w:w="5280" w:type="dxa"/>
            <w:vAlign w:val="bottom"/>
          </w:tcPr>
          <w:p>
            <w:pPr>
              <w:ind w:left="20"/>
              <w:spacing w:after="0"/>
              <w:rPr>
                <w:sz w:val="20"/>
                <w:szCs w:val="20"/>
                <w:color w:val="auto"/>
              </w:rPr>
            </w:pPr>
            <w:r>
              <w:rPr>
                <w:rFonts w:ascii="Arial" w:cs="Arial" w:eastAsia="Arial" w:hAnsi="Arial"/>
                <w:sz w:val="17"/>
                <w:szCs w:val="17"/>
                <w:color w:val="auto"/>
              </w:rPr>
              <w:t>Net loss per common share:</w:t>
            </w:r>
          </w:p>
        </w:tc>
        <w:tc>
          <w:tcPr>
            <w:tcW w:w="14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2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Basic</w:t>
            </w: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(0.02)</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(0.01)</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(0.05)</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(0.05)</w:t>
            </w:r>
          </w:p>
        </w:tc>
        <w:tc>
          <w:tcPr>
            <w:tcW w:w="0" w:type="dxa"/>
            <w:vAlign w:val="bottom"/>
          </w:tcPr>
          <w:p>
            <w:pPr>
              <w:spacing w:after="0"/>
              <w:rPr>
                <w:sz w:val="1"/>
                <w:szCs w:val="1"/>
                <w:color w:val="auto"/>
              </w:rPr>
            </w:pPr>
          </w:p>
        </w:tc>
      </w:tr>
      <w:tr>
        <w:trPr>
          <w:trHeight w:val="221"/>
        </w:trPr>
        <w:tc>
          <w:tcPr>
            <w:tcW w:w="5280" w:type="dxa"/>
            <w:vAlign w:val="bottom"/>
          </w:tcPr>
          <w:p>
            <w:pPr>
              <w:ind w:left="220"/>
              <w:spacing w:after="0"/>
              <w:rPr>
                <w:sz w:val="20"/>
                <w:szCs w:val="20"/>
                <w:color w:val="auto"/>
              </w:rPr>
            </w:pPr>
            <w:r>
              <w:rPr>
                <w:rFonts w:ascii="Arial" w:cs="Arial" w:eastAsia="Arial" w:hAnsi="Arial"/>
                <w:sz w:val="17"/>
                <w:szCs w:val="17"/>
                <w:color w:val="auto"/>
              </w:rPr>
              <w:t>Diluted</w:t>
            </w:r>
          </w:p>
        </w:tc>
        <w:tc>
          <w:tcPr>
            <w:tcW w:w="14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(0.02)</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(0.01)</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(0.05)</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(0.05)</w:t>
            </w:r>
          </w:p>
        </w:tc>
        <w:tc>
          <w:tcPr>
            <w:tcW w:w="0" w:type="dxa"/>
            <w:vAlign w:val="bottom"/>
          </w:tcPr>
          <w:p>
            <w:pPr>
              <w:spacing w:after="0"/>
              <w:rPr>
                <w:sz w:val="1"/>
                <w:szCs w:val="1"/>
                <w:color w:val="auto"/>
              </w:rPr>
            </w:pPr>
          </w:p>
        </w:tc>
      </w:tr>
      <w:tr>
        <w:trPr>
          <w:trHeight w:val="223"/>
        </w:trPr>
        <w:tc>
          <w:tcPr>
            <w:tcW w:w="5280" w:type="dxa"/>
            <w:vAlign w:val="bottom"/>
            <w:shd w:val="clear" w:color="auto" w:fill="CCEEFF"/>
          </w:tcPr>
          <w:p>
            <w:pPr>
              <w:ind w:left="20"/>
              <w:spacing w:after="0"/>
              <w:rPr>
                <w:sz w:val="20"/>
                <w:szCs w:val="20"/>
                <w:color w:val="auto"/>
              </w:rPr>
            </w:pPr>
            <w:r>
              <w:rPr>
                <w:rFonts w:ascii="Arial" w:cs="Arial" w:eastAsia="Arial" w:hAnsi="Arial"/>
                <w:sz w:val="17"/>
                <w:szCs w:val="17"/>
                <w:color w:val="auto"/>
              </w:rPr>
              <w:t>Weighted-average shares outstanding:</w:t>
            </w:r>
          </w:p>
        </w:tc>
        <w:tc>
          <w:tcPr>
            <w:tcW w:w="1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5280" w:type="dxa"/>
            <w:vAlign w:val="bottom"/>
          </w:tcPr>
          <w:p>
            <w:pPr>
              <w:ind w:left="220"/>
              <w:spacing w:after="0"/>
              <w:rPr>
                <w:sz w:val="20"/>
                <w:szCs w:val="20"/>
                <w:color w:val="auto"/>
              </w:rPr>
            </w:pPr>
            <w:r>
              <w:rPr>
                <w:rFonts w:ascii="Arial" w:cs="Arial" w:eastAsia="Arial" w:hAnsi="Arial"/>
                <w:sz w:val="17"/>
                <w:szCs w:val="17"/>
                <w:color w:val="auto"/>
              </w:rPr>
              <w:t>Basic</w:t>
            </w:r>
          </w:p>
        </w:tc>
        <w:tc>
          <w:tcPr>
            <w:tcW w:w="14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1,793,144</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1,670,315</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1,755,362</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1,632,554</w:t>
            </w:r>
          </w:p>
        </w:tc>
        <w:tc>
          <w:tcPr>
            <w:tcW w:w="0" w:type="dxa"/>
            <w:vAlign w:val="bottom"/>
          </w:tcPr>
          <w:p>
            <w:pPr>
              <w:spacing w:after="0"/>
              <w:rPr>
                <w:sz w:val="1"/>
                <w:szCs w:val="1"/>
                <w:color w:val="auto"/>
              </w:rPr>
            </w:pPr>
          </w:p>
        </w:tc>
      </w:tr>
      <w:tr>
        <w:trPr>
          <w:trHeight w:val="223"/>
        </w:trPr>
        <w:tc>
          <w:tcPr>
            <w:tcW w:w="52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Diluted</w:t>
            </w:r>
          </w:p>
        </w:tc>
        <w:tc>
          <w:tcPr>
            <w:tcW w:w="14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1,793,144</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1,670,315</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1,755,362</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1,632,554</w:t>
            </w:r>
          </w:p>
        </w:tc>
        <w:tc>
          <w:tcPr>
            <w:tcW w:w="0" w:type="dxa"/>
            <w:vAlign w:val="bottom"/>
          </w:tcPr>
          <w:p>
            <w:pPr>
              <w:spacing w:after="0"/>
              <w:rPr>
                <w:sz w:val="1"/>
                <w:szCs w:val="1"/>
                <w:color w:val="auto"/>
              </w:rPr>
            </w:pPr>
          </w:p>
        </w:tc>
      </w:tr>
    </w:tbl>
    <w:p>
      <w:pPr>
        <w:spacing w:after="0" w:line="288"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See accompanying notes to unaudited interim condensed consolidated financial statements.</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3" w:name="page4"/>
    <w:bookmarkEnd w:id="3"/>
    <w:p>
      <w:pPr>
        <w:jc w:val="center"/>
        <w:ind w:right="100"/>
        <w:spacing w:after="0"/>
        <w:rPr>
          <w:sz w:val="20"/>
          <w:szCs w:val="20"/>
          <w:color w:val="auto"/>
        </w:rPr>
      </w:pPr>
      <w:r>
        <w:rPr>
          <w:rFonts w:ascii="Arial" w:cs="Arial" w:eastAsia="Arial" w:hAnsi="Arial"/>
          <w:sz w:val="17"/>
          <w:szCs w:val="17"/>
          <w:b w:val="1"/>
          <w:bCs w:val="1"/>
          <w:color w:val="auto"/>
        </w:rPr>
        <w:t>GLOBALSTAR, INC.</w:t>
      </w:r>
    </w:p>
    <w:p>
      <w:pPr>
        <w:spacing w:after="0" w:line="53" w:lineRule="exact"/>
        <w:rPr>
          <w:sz w:val="20"/>
          <w:szCs w:val="20"/>
          <w:color w:val="auto"/>
        </w:rPr>
      </w:pPr>
    </w:p>
    <w:p>
      <w:pPr>
        <w:ind w:left="3620"/>
        <w:spacing w:after="0"/>
        <w:rPr>
          <w:sz w:val="20"/>
          <w:szCs w:val="20"/>
          <w:color w:val="auto"/>
        </w:rPr>
      </w:pPr>
      <w:r>
        <w:rPr>
          <w:rFonts w:ascii="Arial" w:cs="Arial" w:eastAsia="Arial" w:hAnsi="Arial"/>
          <w:sz w:val="17"/>
          <w:szCs w:val="17"/>
          <w:b w:val="1"/>
          <w:bCs w:val="1"/>
          <w:color w:val="auto"/>
        </w:rPr>
        <w:t>CONDENSED CONSOLIDATED BALANCE SHEETS</w:t>
      </w:r>
    </w:p>
    <w:p>
      <w:pPr>
        <w:spacing w:after="0" w:line="53" w:lineRule="exact"/>
        <w:rPr>
          <w:sz w:val="20"/>
          <w:szCs w:val="20"/>
          <w:color w:val="auto"/>
        </w:rPr>
      </w:pPr>
    </w:p>
    <w:p>
      <w:pPr>
        <w:ind w:left="3880"/>
        <w:spacing w:after="0"/>
        <w:rPr>
          <w:sz w:val="20"/>
          <w:szCs w:val="20"/>
          <w:color w:val="auto"/>
        </w:rPr>
      </w:pPr>
      <w:r>
        <w:rPr>
          <w:rFonts w:ascii="Arial" w:cs="Arial" w:eastAsia="Arial" w:hAnsi="Arial"/>
          <w:sz w:val="17"/>
          <w:szCs w:val="17"/>
          <w:b w:val="1"/>
          <w:bCs w:val="1"/>
          <w:color w:val="auto"/>
        </w:rPr>
        <w:t>(In thousands, except par value and share data)</w:t>
      </w:r>
    </w:p>
    <w:p>
      <w:pPr>
        <w:spacing w:after="0" w:line="53" w:lineRule="exact"/>
        <w:rPr>
          <w:sz w:val="20"/>
          <w:szCs w:val="20"/>
          <w:color w:val="auto"/>
        </w:rPr>
      </w:pPr>
    </w:p>
    <w:p>
      <w:pPr>
        <w:jc w:val="center"/>
        <w:ind w:right="60"/>
        <w:spacing w:after="0"/>
        <w:rPr>
          <w:sz w:val="20"/>
          <w:szCs w:val="20"/>
          <w:color w:val="auto"/>
        </w:rPr>
      </w:pPr>
      <w:r>
        <w:rPr>
          <w:rFonts w:ascii="Arial" w:cs="Arial" w:eastAsia="Arial" w:hAnsi="Arial"/>
          <w:sz w:val="17"/>
          <w:szCs w:val="17"/>
          <w:b w:val="1"/>
          <w:bCs w:val="1"/>
          <w:color w:val="auto"/>
        </w:rPr>
        <w:t>(Unaudited)</w:t>
      </w:r>
    </w:p>
    <w:p>
      <w:pPr>
        <w:spacing w:after="0" w:line="5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320" w:type="dxa"/>
            <w:vAlign w:val="bottom"/>
            <w:vMerge w:val="restart"/>
          </w:tcPr>
          <w:p>
            <w:pPr>
              <w:ind w:left="3340"/>
              <w:spacing w:after="0"/>
              <w:rPr>
                <w:sz w:val="20"/>
                <w:szCs w:val="20"/>
                <w:color w:val="auto"/>
              </w:rPr>
            </w:pPr>
            <w:r>
              <w:rPr>
                <w:rFonts w:ascii="Arial" w:cs="Arial" w:eastAsia="Arial" w:hAnsi="Arial"/>
                <w:sz w:val="17"/>
                <w:szCs w:val="17"/>
                <w:b w:val="1"/>
                <w:bCs w:val="1"/>
                <w:color w:val="auto"/>
              </w:rPr>
              <w:t>ASSETS</w:t>
            </w:r>
          </w:p>
        </w:tc>
        <w:tc>
          <w:tcPr>
            <w:tcW w:w="180" w:type="dxa"/>
            <w:vAlign w:val="bottom"/>
          </w:tcPr>
          <w:p>
            <w:pPr>
              <w:spacing w:after="0"/>
              <w:rPr>
                <w:sz w:val="18"/>
                <w:szCs w:val="18"/>
                <w:color w:val="auto"/>
              </w:rPr>
            </w:pPr>
          </w:p>
        </w:tc>
        <w:tc>
          <w:tcPr>
            <w:tcW w:w="1820" w:type="dxa"/>
            <w:vAlign w:val="bottom"/>
            <w:gridSpan w:val="2"/>
          </w:tcPr>
          <w:p>
            <w:pPr>
              <w:ind w:left="80"/>
              <w:spacing w:after="0"/>
              <w:rPr>
                <w:sz w:val="20"/>
                <w:szCs w:val="20"/>
                <w:color w:val="auto"/>
              </w:rPr>
            </w:pPr>
            <w:r>
              <w:rPr>
                <w:rFonts w:ascii="Arial" w:cs="Arial" w:eastAsia="Arial" w:hAnsi="Arial"/>
                <w:sz w:val="17"/>
                <w:szCs w:val="17"/>
                <w:b w:val="1"/>
                <w:bCs w:val="1"/>
                <w:color w:val="auto"/>
              </w:rPr>
              <w:t>September 30, 2021</w:t>
            </w:r>
          </w:p>
        </w:tc>
        <w:tc>
          <w:tcPr>
            <w:tcW w:w="180" w:type="dxa"/>
            <w:vAlign w:val="bottom"/>
          </w:tcPr>
          <w:p>
            <w:pPr>
              <w:spacing w:after="0"/>
              <w:rPr>
                <w:sz w:val="18"/>
                <w:szCs w:val="18"/>
                <w:color w:val="auto"/>
              </w:rPr>
            </w:pPr>
          </w:p>
        </w:tc>
        <w:tc>
          <w:tcPr>
            <w:tcW w:w="1720" w:type="dxa"/>
            <w:vAlign w:val="bottom"/>
          </w:tcPr>
          <w:p>
            <w:pPr>
              <w:jc w:val="right"/>
              <w:ind w:right="197"/>
              <w:spacing w:after="0"/>
              <w:rPr>
                <w:sz w:val="20"/>
                <w:szCs w:val="20"/>
                <w:color w:val="auto"/>
              </w:rPr>
            </w:pPr>
            <w:r>
              <w:rPr>
                <w:rFonts w:ascii="Arial" w:cs="Arial" w:eastAsia="Arial" w:hAnsi="Arial"/>
                <w:sz w:val="17"/>
                <w:szCs w:val="17"/>
                <w:b w:val="1"/>
                <w:bCs w:val="1"/>
                <w:color w:val="auto"/>
                <w:w w:val="92"/>
              </w:rPr>
              <w:t>December 31, 2020</w:t>
            </w:r>
          </w:p>
        </w:tc>
        <w:tc>
          <w:tcPr>
            <w:tcW w:w="0" w:type="dxa"/>
            <w:vAlign w:val="bottom"/>
          </w:tcPr>
          <w:p>
            <w:pPr>
              <w:spacing w:after="0"/>
              <w:rPr>
                <w:sz w:val="1"/>
                <w:szCs w:val="1"/>
                <w:color w:val="auto"/>
              </w:rPr>
            </w:pPr>
          </w:p>
        </w:tc>
      </w:tr>
      <w:tr>
        <w:trPr>
          <w:trHeight w:val="189"/>
        </w:trPr>
        <w:tc>
          <w:tcPr>
            <w:tcW w:w="7320" w:type="dxa"/>
            <w:vAlign w:val="bottom"/>
            <w:vMerge w:val="continue"/>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72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720" w:type="dxa"/>
            <w:vAlign w:val="bottom"/>
            <w:tcBorders>
              <w:top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73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Current assets:</w:t>
            </w: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320" w:type="dxa"/>
            <w:vAlign w:val="bottom"/>
          </w:tcPr>
          <w:p>
            <w:pPr>
              <w:ind w:left="220"/>
              <w:spacing w:after="0"/>
              <w:rPr>
                <w:sz w:val="20"/>
                <w:szCs w:val="20"/>
                <w:color w:val="auto"/>
              </w:rPr>
            </w:pPr>
            <w:r>
              <w:rPr>
                <w:rFonts w:ascii="Arial" w:cs="Arial" w:eastAsia="Arial" w:hAnsi="Arial"/>
                <w:sz w:val="17"/>
                <w:szCs w:val="17"/>
                <w:color w:val="auto"/>
              </w:rPr>
              <w:t>Cash and cash equivalents</w:t>
            </w: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tcPr>
          <w:p>
            <w:pPr>
              <w:jc w:val="right"/>
              <w:spacing w:after="0"/>
              <w:rPr>
                <w:sz w:val="20"/>
                <w:szCs w:val="20"/>
                <w:color w:val="auto"/>
              </w:rPr>
            </w:pPr>
            <w:r>
              <w:rPr>
                <w:rFonts w:ascii="Arial" w:cs="Arial" w:eastAsia="Arial" w:hAnsi="Arial"/>
                <w:sz w:val="17"/>
                <w:szCs w:val="17"/>
                <w:color w:val="auto"/>
              </w:rPr>
              <w:t>11,306</w:t>
            </w:r>
          </w:p>
        </w:tc>
        <w:tc>
          <w:tcPr>
            <w:tcW w:w="10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tcPr>
          <w:p>
            <w:pPr>
              <w:jc w:val="right"/>
              <w:spacing w:after="0"/>
              <w:rPr>
                <w:sz w:val="20"/>
                <w:szCs w:val="20"/>
                <w:color w:val="auto"/>
              </w:rPr>
            </w:pPr>
            <w:r>
              <w:rPr>
                <w:rFonts w:ascii="Arial" w:cs="Arial" w:eastAsia="Arial" w:hAnsi="Arial"/>
                <w:sz w:val="17"/>
                <w:szCs w:val="17"/>
                <w:color w:val="auto"/>
              </w:rPr>
              <w:t>13,330</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Restricted cash</w:t>
            </w:r>
          </w:p>
        </w:tc>
        <w:tc>
          <w:tcPr>
            <w:tcW w:w="180" w:type="dxa"/>
            <w:vAlign w:val="bottom"/>
            <w:shd w:val="clear" w:color="auto" w:fill="CCEEFF"/>
          </w:tcPr>
          <w:p>
            <w:pPr>
              <w:spacing w:after="0"/>
              <w:rPr>
                <w:sz w:val="18"/>
                <w:szCs w:val="18"/>
                <w:color w:val="auto"/>
              </w:rPr>
            </w:pPr>
          </w:p>
        </w:tc>
        <w:tc>
          <w:tcPr>
            <w:tcW w:w="18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3,625</w:t>
            </w:r>
          </w:p>
        </w:tc>
        <w:tc>
          <w:tcPr>
            <w:tcW w:w="0" w:type="dxa"/>
            <w:vAlign w:val="bottom"/>
          </w:tcPr>
          <w:p>
            <w:pPr>
              <w:spacing w:after="0"/>
              <w:rPr>
                <w:sz w:val="1"/>
                <w:szCs w:val="1"/>
                <w:color w:val="auto"/>
              </w:rPr>
            </w:pPr>
          </w:p>
        </w:tc>
      </w:tr>
      <w:tr>
        <w:trPr>
          <w:trHeight w:val="209"/>
        </w:trPr>
        <w:tc>
          <w:tcPr>
            <w:tcW w:w="7320" w:type="dxa"/>
            <w:vAlign w:val="bottom"/>
          </w:tcPr>
          <w:p>
            <w:pPr>
              <w:ind w:left="220"/>
              <w:spacing w:after="0"/>
              <w:rPr>
                <w:sz w:val="20"/>
                <w:szCs w:val="20"/>
                <w:color w:val="auto"/>
              </w:rPr>
            </w:pPr>
            <w:r>
              <w:rPr>
                <w:rFonts w:ascii="Arial" w:cs="Arial" w:eastAsia="Arial" w:hAnsi="Arial"/>
                <w:sz w:val="17"/>
                <w:szCs w:val="17"/>
                <w:color w:val="auto"/>
              </w:rPr>
              <w:t>Accounts receivable, net of allowance for credit losses of $3,276 and $4,352, respectively</w:t>
            </w:r>
          </w:p>
        </w:tc>
        <w:tc>
          <w:tcPr>
            <w:tcW w:w="18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35,054</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22,147</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Inventory</w:t>
            </w: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12,545</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13,736</w:t>
            </w:r>
          </w:p>
        </w:tc>
        <w:tc>
          <w:tcPr>
            <w:tcW w:w="0" w:type="dxa"/>
            <w:vAlign w:val="bottom"/>
          </w:tcPr>
          <w:p>
            <w:pPr>
              <w:spacing w:after="0"/>
              <w:rPr>
                <w:sz w:val="1"/>
                <w:szCs w:val="1"/>
                <w:color w:val="auto"/>
              </w:rPr>
            </w:pPr>
          </w:p>
        </w:tc>
      </w:tr>
      <w:tr>
        <w:trPr>
          <w:trHeight w:val="209"/>
        </w:trPr>
        <w:tc>
          <w:tcPr>
            <w:tcW w:w="732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Prepaid expenses and other current assets</w:t>
            </w:r>
          </w:p>
        </w:tc>
        <w:tc>
          <w:tcPr>
            <w:tcW w:w="180" w:type="dxa"/>
            <w:vAlign w:val="bottom"/>
            <w:tcBorders>
              <w:bottom w:val="single" w:sz="8" w:color="auto"/>
            </w:tcBorders>
          </w:tcPr>
          <w:p>
            <w:pPr>
              <w:spacing w:after="0"/>
              <w:rPr>
                <w:sz w:val="18"/>
                <w:szCs w:val="18"/>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16,092</w:t>
            </w:r>
          </w:p>
        </w:tc>
        <w:tc>
          <w:tcPr>
            <w:tcW w:w="10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15,649</w:t>
            </w:r>
          </w:p>
        </w:tc>
        <w:tc>
          <w:tcPr>
            <w:tcW w:w="0" w:type="dxa"/>
            <w:vAlign w:val="bottom"/>
          </w:tcPr>
          <w:p>
            <w:pPr>
              <w:spacing w:after="0"/>
              <w:rPr>
                <w:sz w:val="1"/>
                <w:szCs w:val="1"/>
                <w:color w:val="auto"/>
              </w:rPr>
            </w:pPr>
          </w:p>
        </w:tc>
      </w:tr>
      <w:tr>
        <w:trPr>
          <w:trHeight w:val="202"/>
        </w:trPr>
        <w:tc>
          <w:tcPr>
            <w:tcW w:w="7320" w:type="dxa"/>
            <w:vAlign w:val="bottom"/>
            <w:shd w:val="clear" w:color="auto" w:fill="CCEEFF"/>
          </w:tcPr>
          <w:p>
            <w:pPr>
              <w:ind w:left="440"/>
              <w:spacing w:after="0" w:line="189" w:lineRule="exact"/>
              <w:rPr>
                <w:sz w:val="20"/>
                <w:szCs w:val="20"/>
                <w:color w:val="auto"/>
              </w:rPr>
            </w:pPr>
            <w:r>
              <w:rPr>
                <w:rFonts w:ascii="Arial" w:cs="Arial" w:eastAsia="Arial" w:hAnsi="Arial"/>
                <w:sz w:val="17"/>
                <w:szCs w:val="17"/>
                <w:color w:val="auto"/>
              </w:rPr>
              <w:t>Total current assets</w:t>
            </w:r>
          </w:p>
        </w:tc>
        <w:tc>
          <w:tcPr>
            <w:tcW w:w="180" w:type="dxa"/>
            <w:vAlign w:val="bottom"/>
            <w:tcBorders>
              <w:bottom w:val="single" w:sz="8" w:color="auto"/>
            </w:tcBorders>
            <w:shd w:val="clear" w:color="auto" w:fill="CCEEFF"/>
          </w:tcPr>
          <w:p>
            <w:pPr>
              <w:spacing w:after="0"/>
              <w:rPr>
                <w:sz w:val="17"/>
                <w:szCs w:val="17"/>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74,997</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68,487</w:t>
            </w:r>
          </w:p>
        </w:tc>
        <w:tc>
          <w:tcPr>
            <w:tcW w:w="0" w:type="dxa"/>
            <w:vAlign w:val="bottom"/>
          </w:tcPr>
          <w:p>
            <w:pPr>
              <w:spacing w:after="0"/>
              <w:rPr>
                <w:sz w:val="1"/>
                <w:szCs w:val="1"/>
                <w:color w:val="auto"/>
              </w:rPr>
            </w:pPr>
          </w:p>
        </w:tc>
      </w:tr>
      <w:tr>
        <w:trPr>
          <w:trHeight w:val="202"/>
        </w:trPr>
        <w:tc>
          <w:tcPr>
            <w:tcW w:w="7320" w:type="dxa"/>
            <w:vAlign w:val="bottom"/>
          </w:tcPr>
          <w:p>
            <w:pPr>
              <w:ind w:left="20"/>
              <w:spacing w:after="0" w:line="189" w:lineRule="exact"/>
              <w:rPr>
                <w:sz w:val="20"/>
                <w:szCs w:val="20"/>
                <w:color w:val="auto"/>
              </w:rPr>
            </w:pPr>
            <w:r>
              <w:rPr>
                <w:rFonts w:ascii="Arial" w:cs="Arial" w:eastAsia="Arial" w:hAnsi="Arial"/>
                <w:sz w:val="17"/>
                <w:szCs w:val="17"/>
                <w:color w:val="auto"/>
              </w:rPr>
              <w:t>Property and equipment, net</w:t>
            </w:r>
          </w:p>
        </w:tc>
        <w:tc>
          <w:tcPr>
            <w:tcW w:w="180" w:type="dxa"/>
            <w:vAlign w:val="bottom"/>
          </w:tcPr>
          <w:p>
            <w:pPr>
              <w:spacing w:after="0"/>
              <w:rPr>
                <w:sz w:val="17"/>
                <w:szCs w:val="17"/>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682,587</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715,909</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Restricted cash</w:t>
            </w: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51,068</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51,068</w:t>
            </w:r>
          </w:p>
        </w:tc>
        <w:tc>
          <w:tcPr>
            <w:tcW w:w="0" w:type="dxa"/>
            <w:vAlign w:val="bottom"/>
          </w:tcPr>
          <w:p>
            <w:pPr>
              <w:spacing w:after="0"/>
              <w:rPr>
                <w:sz w:val="1"/>
                <w:szCs w:val="1"/>
                <w:color w:val="auto"/>
              </w:rPr>
            </w:pPr>
          </w:p>
        </w:tc>
      </w:tr>
      <w:tr>
        <w:trPr>
          <w:trHeight w:val="209"/>
        </w:trPr>
        <w:tc>
          <w:tcPr>
            <w:tcW w:w="7320" w:type="dxa"/>
            <w:vAlign w:val="bottom"/>
          </w:tcPr>
          <w:p>
            <w:pPr>
              <w:ind w:left="20"/>
              <w:spacing w:after="0"/>
              <w:rPr>
                <w:sz w:val="20"/>
                <w:szCs w:val="20"/>
                <w:color w:val="auto"/>
              </w:rPr>
            </w:pPr>
            <w:r>
              <w:rPr>
                <w:rFonts w:ascii="Arial" w:cs="Arial" w:eastAsia="Arial" w:hAnsi="Arial"/>
                <w:sz w:val="17"/>
                <w:szCs w:val="17"/>
                <w:color w:val="auto"/>
              </w:rPr>
              <w:t>Operating lease right of use assets, net</w:t>
            </w:r>
          </w:p>
        </w:tc>
        <w:tc>
          <w:tcPr>
            <w:tcW w:w="18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32,642</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14,400</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0"/>
              <w:spacing w:after="0"/>
              <w:rPr>
                <w:sz w:val="20"/>
                <w:szCs w:val="20"/>
                <w:color w:val="auto"/>
              </w:rPr>
            </w:pPr>
            <w:r>
              <w:rPr>
                <w:rFonts w:ascii="Arial" w:cs="Arial" w:eastAsia="Arial" w:hAnsi="Arial"/>
                <w:sz w:val="17"/>
                <w:szCs w:val="17"/>
                <w:color w:val="auto"/>
                <w:w w:val="99"/>
              </w:rPr>
              <w:t>Intangible and other assets, net of accumulated amortization of $10,853 and $9,998, respectively</w:t>
            </w:r>
          </w:p>
        </w:tc>
        <w:tc>
          <w:tcPr>
            <w:tcW w:w="180" w:type="dxa"/>
            <w:vAlign w:val="bottom"/>
            <w:tcBorders>
              <w:bottom w:val="single" w:sz="8" w:color="auto"/>
            </w:tcBorders>
            <w:shd w:val="clear" w:color="auto" w:fill="CCEEFF"/>
          </w:tcPr>
          <w:p>
            <w:pPr>
              <w:spacing w:after="0"/>
              <w:rPr>
                <w:sz w:val="18"/>
                <w:szCs w:val="18"/>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42,821</w:t>
            </w: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38,229</w:t>
            </w:r>
          </w:p>
        </w:tc>
        <w:tc>
          <w:tcPr>
            <w:tcW w:w="0" w:type="dxa"/>
            <w:vAlign w:val="bottom"/>
          </w:tcPr>
          <w:p>
            <w:pPr>
              <w:spacing w:after="0"/>
              <w:rPr>
                <w:sz w:val="1"/>
                <w:szCs w:val="1"/>
                <w:color w:val="auto"/>
              </w:rPr>
            </w:pPr>
          </w:p>
        </w:tc>
      </w:tr>
      <w:tr>
        <w:trPr>
          <w:trHeight w:val="202"/>
        </w:trPr>
        <w:tc>
          <w:tcPr>
            <w:tcW w:w="7320" w:type="dxa"/>
            <w:vAlign w:val="bottom"/>
          </w:tcPr>
          <w:p>
            <w:pPr>
              <w:ind w:left="440"/>
              <w:spacing w:after="0" w:line="189" w:lineRule="exact"/>
              <w:rPr>
                <w:sz w:val="20"/>
                <w:szCs w:val="20"/>
                <w:color w:val="auto"/>
              </w:rPr>
            </w:pPr>
            <w:r>
              <w:rPr>
                <w:rFonts w:ascii="Arial" w:cs="Arial" w:eastAsia="Arial" w:hAnsi="Arial"/>
                <w:sz w:val="17"/>
                <w:szCs w:val="17"/>
                <w:color w:val="auto"/>
              </w:rPr>
              <w:t>Total assets</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884,115</w:t>
            </w:r>
          </w:p>
        </w:tc>
        <w:tc>
          <w:tcPr>
            <w:tcW w:w="100" w:type="dxa"/>
            <w:vAlign w:val="bottom"/>
          </w:tcPr>
          <w:p>
            <w:pPr>
              <w:spacing w:after="0"/>
              <w:rPr>
                <w:sz w:val="17"/>
                <w:szCs w:val="17"/>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888,093</w:t>
            </w:r>
          </w:p>
        </w:tc>
        <w:tc>
          <w:tcPr>
            <w:tcW w:w="0" w:type="dxa"/>
            <w:vAlign w:val="bottom"/>
          </w:tcPr>
          <w:p>
            <w:pPr>
              <w:spacing w:after="0"/>
              <w:rPr>
                <w:sz w:val="1"/>
                <w:szCs w:val="1"/>
                <w:color w:val="auto"/>
              </w:rPr>
            </w:pPr>
          </w:p>
        </w:tc>
      </w:tr>
      <w:tr>
        <w:trPr>
          <w:trHeight w:val="20"/>
        </w:trPr>
        <w:tc>
          <w:tcPr>
            <w:tcW w:w="73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1"/>
        </w:trPr>
        <w:tc>
          <w:tcPr>
            <w:tcW w:w="7320" w:type="dxa"/>
            <w:vAlign w:val="bottom"/>
            <w:tcBorders>
              <w:bottom w:val="single" w:sz="8" w:color="CCEEFF"/>
            </w:tcBorders>
            <w:shd w:val="clear" w:color="auto" w:fill="CCEEFF"/>
          </w:tcPr>
          <w:p>
            <w:pPr>
              <w:ind w:left="1860"/>
              <w:spacing w:after="0" w:line="180" w:lineRule="exact"/>
              <w:rPr>
                <w:sz w:val="20"/>
                <w:szCs w:val="20"/>
                <w:color w:val="auto"/>
              </w:rPr>
            </w:pPr>
            <w:r>
              <w:rPr>
                <w:rFonts w:ascii="Arial" w:cs="Arial" w:eastAsia="Arial" w:hAnsi="Arial"/>
                <w:sz w:val="17"/>
                <w:szCs w:val="17"/>
                <w:b w:val="1"/>
                <w:bCs w:val="1"/>
                <w:color w:val="auto"/>
              </w:rPr>
              <w:t>LIABILITIES AND STOCKHOLDERS’ EQUITY</w:t>
            </w:r>
          </w:p>
        </w:tc>
        <w:tc>
          <w:tcPr>
            <w:tcW w:w="180" w:type="dxa"/>
            <w:vAlign w:val="bottom"/>
            <w:tcBorders>
              <w:bottom w:val="single" w:sz="8" w:color="CCEEFF"/>
            </w:tcBorders>
            <w:shd w:val="clear" w:color="auto" w:fill="CCEEFF"/>
          </w:tcPr>
          <w:p>
            <w:pPr>
              <w:spacing w:after="0"/>
              <w:rPr>
                <w:sz w:val="15"/>
                <w:szCs w:val="15"/>
                <w:color w:val="auto"/>
              </w:rPr>
            </w:pPr>
          </w:p>
        </w:tc>
        <w:tc>
          <w:tcPr>
            <w:tcW w:w="17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CCEEFF"/>
            </w:tcBorders>
            <w:shd w:val="clear" w:color="auto" w:fill="CCEEFF"/>
          </w:tcPr>
          <w:p>
            <w:pPr>
              <w:spacing w:after="0"/>
              <w:rPr>
                <w:sz w:val="15"/>
                <w:szCs w:val="15"/>
                <w:color w:val="auto"/>
              </w:rPr>
            </w:pPr>
          </w:p>
        </w:tc>
        <w:tc>
          <w:tcPr>
            <w:tcW w:w="1720" w:type="dxa"/>
            <w:vAlign w:val="bottom"/>
            <w:tcBorders>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7320" w:type="dxa"/>
            <w:vAlign w:val="bottom"/>
          </w:tcPr>
          <w:p>
            <w:pPr>
              <w:ind w:left="20"/>
              <w:spacing w:after="0"/>
              <w:rPr>
                <w:sz w:val="20"/>
                <w:szCs w:val="20"/>
                <w:color w:val="auto"/>
              </w:rPr>
            </w:pPr>
            <w:r>
              <w:rPr>
                <w:rFonts w:ascii="Arial" w:cs="Arial" w:eastAsia="Arial" w:hAnsi="Arial"/>
                <w:sz w:val="17"/>
                <w:szCs w:val="17"/>
                <w:color w:val="auto"/>
              </w:rPr>
              <w:t>Current liabilities:</w:t>
            </w:r>
          </w:p>
        </w:tc>
        <w:tc>
          <w:tcPr>
            <w:tcW w:w="1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Current portion of long-term debt</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8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58,824</w:t>
            </w:r>
          </w:p>
        </w:tc>
        <w:tc>
          <w:tcPr>
            <w:tcW w:w="0" w:type="dxa"/>
            <w:vAlign w:val="bottom"/>
          </w:tcPr>
          <w:p>
            <w:pPr>
              <w:spacing w:after="0"/>
              <w:rPr>
                <w:sz w:val="1"/>
                <w:szCs w:val="1"/>
                <w:color w:val="auto"/>
              </w:rPr>
            </w:pPr>
          </w:p>
        </w:tc>
      </w:tr>
      <w:tr>
        <w:trPr>
          <w:trHeight w:val="209"/>
        </w:trPr>
        <w:tc>
          <w:tcPr>
            <w:tcW w:w="7320" w:type="dxa"/>
            <w:vAlign w:val="bottom"/>
          </w:tcPr>
          <w:p>
            <w:pPr>
              <w:ind w:left="220"/>
              <w:spacing w:after="0"/>
              <w:rPr>
                <w:sz w:val="20"/>
                <w:szCs w:val="20"/>
                <w:color w:val="auto"/>
              </w:rPr>
            </w:pPr>
            <w:r>
              <w:rPr>
                <w:rFonts w:ascii="Arial" w:cs="Arial" w:eastAsia="Arial" w:hAnsi="Arial"/>
                <w:sz w:val="17"/>
                <w:szCs w:val="17"/>
                <w:color w:val="auto"/>
              </w:rPr>
              <w:t>Accounts payable</w:t>
            </w:r>
          </w:p>
        </w:tc>
        <w:tc>
          <w:tcPr>
            <w:tcW w:w="18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9,829</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2,917</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Accrued expenses</w:t>
            </w: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31,849</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25,916</w:t>
            </w:r>
          </w:p>
        </w:tc>
        <w:tc>
          <w:tcPr>
            <w:tcW w:w="0" w:type="dxa"/>
            <w:vAlign w:val="bottom"/>
          </w:tcPr>
          <w:p>
            <w:pPr>
              <w:spacing w:after="0"/>
              <w:rPr>
                <w:sz w:val="1"/>
                <w:szCs w:val="1"/>
                <w:color w:val="auto"/>
              </w:rPr>
            </w:pPr>
          </w:p>
        </w:tc>
      </w:tr>
      <w:tr>
        <w:trPr>
          <w:trHeight w:val="209"/>
        </w:trPr>
        <w:tc>
          <w:tcPr>
            <w:tcW w:w="7320" w:type="dxa"/>
            <w:vAlign w:val="bottom"/>
          </w:tcPr>
          <w:p>
            <w:pPr>
              <w:ind w:left="220"/>
              <w:spacing w:after="0"/>
              <w:rPr>
                <w:sz w:val="20"/>
                <w:szCs w:val="20"/>
                <w:color w:val="auto"/>
              </w:rPr>
            </w:pPr>
            <w:r>
              <w:rPr>
                <w:rFonts w:ascii="Arial" w:cs="Arial" w:eastAsia="Arial" w:hAnsi="Arial"/>
                <w:sz w:val="17"/>
                <w:szCs w:val="17"/>
                <w:color w:val="auto"/>
              </w:rPr>
              <w:t>Payables to affiliates</w:t>
            </w:r>
          </w:p>
        </w:tc>
        <w:tc>
          <w:tcPr>
            <w:tcW w:w="18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271</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581</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Recoupment of advance payments</w:t>
            </w: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12,500</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9"/>
        </w:trPr>
        <w:tc>
          <w:tcPr>
            <w:tcW w:w="732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Deferred revenue</w:t>
            </w:r>
          </w:p>
        </w:tc>
        <w:tc>
          <w:tcPr>
            <w:tcW w:w="180" w:type="dxa"/>
            <w:vAlign w:val="bottom"/>
            <w:tcBorders>
              <w:bottom w:val="single" w:sz="8" w:color="auto"/>
            </w:tcBorders>
          </w:tcPr>
          <w:p>
            <w:pPr>
              <w:spacing w:after="0"/>
              <w:rPr>
                <w:sz w:val="18"/>
                <w:szCs w:val="18"/>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26,546</w:t>
            </w:r>
          </w:p>
        </w:tc>
        <w:tc>
          <w:tcPr>
            <w:tcW w:w="10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25,977</w:t>
            </w:r>
          </w:p>
        </w:tc>
        <w:tc>
          <w:tcPr>
            <w:tcW w:w="0" w:type="dxa"/>
            <w:vAlign w:val="bottom"/>
          </w:tcPr>
          <w:p>
            <w:pPr>
              <w:spacing w:after="0"/>
              <w:rPr>
                <w:sz w:val="1"/>
                <w:szCs w:val="1"/>
                <w:color w:val="auto"/>
              </w:rPr>
            </w:pPr>
          </w:p>
        </w:tc>
      </w:tr>
      <w:tr>
        <w:trPr>
          <w:trHeight w:val="202"/>
        </w:trPr>
        <w:tc>
          <w:tcPr>
            <w:tcW w:w="7320" w:type="dxa"/>
            <w:vAlign w:val="bottom"/>
            <w:shd w:val="clear" w:color="auto" w:fill="CCEEFF"/>
          </w:tcPr>
          <w:p>
            <w:pPr>
              <w:ind w:left="440"/>
              <w:spacing w:after="0" w:line="189" w:lineRule="exact"/>
              <w:rPr>
                <w:sz w:val="20"/>
                <w:szCs w:val="20"/>
                <w:color w:val="auto"/>
              </w:rPr>
            </w:pPr>
            <w:r>
              <w:rPr>
                <w:rFonts w:ascii="Arial" w:cs="Arial" w:eastAsia="Arial" w:hAnsi="Arial"/>
                <w:sz w:val="17"/>
                <w:szCs w:val="17"/>
                <w:color w:val="auto"/>
              </w:rPr>
              <w:t>Total current liabilities</w:t>
            </w:r>
          </w:p>
        </w:tc>
        <w:tc>
          <w:tcPr>
            <w:tcW w:w="180" w:type="dxa"/>
            <w:vAlign w:val="bottom"/>
            <w:tcBorders>
              <w:bottom w:val="single" w:sz="8" w:color="auto"/>
            </w:tcBorders>
            <w:shd w:val="clear" w:color="auto" w:fill="CCEEFF"/>
          </w:tcPr>
          <w:p>
            <w:pPr>
              <w:spacing w:after="0"/>
              <w:rPr>
                <w:sz w:val="17"/>
                <w:szCs w:val="17"/>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80,995</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114,215</w:t>
            </w:r>
          </w:p>
        </w:tc>
        <w:tc>
          <w:tcPr>
            <w:tcW w:w="0" w:type="dxa"/>
            <w:vAlign w:val="bottom"/>
          </w:tcPr>
          <w:p>
            <w:pPr>
              <w:spacing w:after="0"/>
              <w:rPr>
                <w:sz w:val="1"/>
                <w:szCs w:val="1"/>
                <w:color w:val="auto"/>
              </w:rPr>
            </w:pPr>
          </w:p>
        </w:tc>
      </w:tr>
      <w:tr>
        <w:trPr>
          <w:trHeight w:val="202"/>
        </w:trPr>
        <w:tc>
          <w:tcPr>
            <w:tcW w:w="7320" w:type="dxa"/>
            <w:vAlign w:val="bottom"/>
          </w:tcPr>
          <w:p>
            <w:pPr>
              <w:ind w:left="20"/>
              <w:spacing w:after="0" w:line="189" w:lineRule="exact"/>
              <w:rPr>
                <w:sz w:val="20"/>
                <w:szCs w:val="20"/>
                <w:color w:val="auto"/>
              </w:rPr>
            </w:pPr>
            <w:r>
              <w:rPr>
                <w:rFonts w:ascii="Arial" w:cs="Arial" w:eastAsia="Arial" w:hAnsi="Arial"/>
                <w:sz w:val="17"/>
                <w:szCs w:val="17"/>
                <w:color w:val="auto"/>
              </w:rPr>
              <w:t>Long-term debt, less current portion</w:t>
            </w:r>
          </w:p>
        </w:tc>
        <w:tc>
          <w:tcPr>
            <w:tcW w:w="180" w:type="dxa"/>
            <w:vAlign w:val="bottom"/>
          </w:tcPr>
          <w:p>
            <w:pPr>
              <w:spacing w:after="0"/>
              <w:rPr>
                <w:sz w:val="17"/>
                <w:szCs w:val="17"/>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286,881</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326,586</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0"/>
              <w:spacing w:after="0"/>
              <w:rPr>
                <w:sz w:val="20"/>
                <w:szCs w:val="20"/>
                <w:color w:val="auto"/>
              </w:rPr>
            </w:pPr>
            <w:r>
              <w:rPr>
                <w:rFonts w:ascii="Arial" w:cs="Arial" w:eastAsia="Arial" w:hAnsi="Arial"/>
                <w:sz w:val="17"/>
                <w:szCs w:val="17"/>
                <w:color w:val="auto"/>
              </w:rPr>
              <w:t>Operating lease liabilities</w:t>
            </w: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29,756</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13,726</w:t>
            </w:r>
          </w:p>
        </w:tc>
        <w:tc>
          <w:tcPr>
            <w:tcW w:w="0" w:type="dxa"/>
            <w:vAlign w:val="bottom"/>
          </w:tcPr>
          <w:p>
            <w:pPr>
              <w:spacing w:after="0"/>
              <w:rPr>
                <w:sz w:val="1"/>
                <w:szCs w:val="1"/>
                <w:color w:val="auto"/>
              </w:rPr>
            </w:pPr>
          </w:p>
        </w:tc>
      </w:tr>
      <w:tr>
        <w:trPr>
          <w:trHeight w:val="209"/>
        </w:trPr>
        <w:tc>
          <w:tcPr>
            <w:tcW w:w="7320" w:type="dxa"/>
            <w:vAlign w:val="bottom"/>
          </w:tcPr>
          <w:p>
            <w:pPr>
              <w:ind w:left="20"/>
              <w:spacing w:after="0"/>
              <w:rPr>
                <w:sz w:val="20"/>
                <w:szCs w:val="20"/>
                <w:color w:val="auto"/>
              </w:rPr>
            </w:pPr>
            <w:r>
              <w:rPr>
                <w:rFonts w:ascii="Arial" w:cs="Arial" w:eastAsia="Arial" w:hAnsi="Arial"/>
                <w:sz w:val="17"/>
                <w:szCs w:val="17"/>
                <w:color w:val="auto"/>
              </w:rPr>
              <w:t>Deferred revenue, net</w:t>
            </w:r>
          </w:p>
        </w:tc>
        <w:tc>
          <w:tcPr>
            <w:tcW w:w="18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91,055</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3,280</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0"/>
              <w:spacing w:after="0"/>
              <w:rPr>
                <w:sz w:val="20"/>
                <w:szCs w:val="20"/>
                <w:color w:val="auto"/>
              </w:rPr>
            </w:pPr>
            <w:r>
              <w:rPr>
                <w:rFonts w:ascii="Arial" w:cs="Arial" w:eastAsia="Arial" w:hAnsi="Arial"/>
                <w:sz w:val="17"/>
                <w:szCs w:val="17"/>
                <w:color w:val="auto"/>
              </w:rPr>
              <w:t>Other non-current liabilities</w:t>
            </w:r>
          </w:p>
        </w:tc>
        <w:tc>
          <w:tcPr>
            <w:tcW w:w="180" w:type="dxa"/>
            <w:vAlign w:val="bottom"/>
            <w:tcBorders>
              <w:bottom w:val="single" w:sz="8" w:color="auto"/>
            </w:tcBorders>
            <w:shd w:val="clear" w:color="auto" w:fill="CCEEFF"/>
          </w:tcPr>
          <w:p>
            <w:pPr>
              <w:spacing w:after="0"/>
              <w:rPr>
                <w:sz w:val="18"/>
                <w:szCs w:val="18"/>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10,303</w:t>
            </w: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7,221</w:t>
            </w:r>
          </w:p>
        </w:tc>
        <w:tc>
          <w:tcPr>
            <w:tcW w:w="0" w:type="dxa"/>
            <w:vAlign w:val="bottom"/>
          </w:tcPr>
          <w:p>
            <w:pPr>
              <w:spacing w:after="0"/>
              <w:rPr>
                <w:sz w:val="1"/>
                <w:szCs w:val="1"/>
                <w:color w:val="auto"/>
              </w:rPr>
            </w:pPr>
          </w:p>
        </w:tc>
      </w:tr>
      <w:tr>
        <w:trPr>
          <w:trHeight w:val="239"/>
        </w:trPr>
        <w:tc>
          <w:tcPr>
            <w:tcW w:w="7320" w:type="dxa"/>
            <w:vAlign w:val="bottom"/>
            <w:tcBorders>
              <w:bottom w:val="single" w:sz="8" w:color="CCEEFF"/>
            </w:tcBorders>
          </w:tcPr>
          <w:p>
            <w:pPr>
              <w:ind w:left="440"/>
              <w:spacing w:after="0" w:line="189" w:lineRule="exact"/>
              <w:rPr>
                <w:sz w:val="20"/>
                <w:szCs w:val="20"/>
                <w:color w:val="auto"/>
              </w:rPr>
            </w:pPr>
            <w:r>
              <w:rPr>
                <w:rFonts w:ascii="Arial" w:cs="Arial" w:eastAsia="Arial" w:hAnsi="Arial"/>
                <w:sz w:val="17"/>
                <w:szCs w:val="17"/>
                <w:color w:val="auto"/>
              </w:rPr>
              <w:t>Total non-current liabilities</w:t>
            </w:r>
          </w:p>
        </w:tc>
        <w:tc>
          <w:tcPr>
            <w:tcW w:w="180" w:type="dxa"/>
            <w:vAlign w:val="bottom"/>
            <w:tcBorders>
              <w:bottom w:val="single" w:sz="8" w:color="auto"/>
            </w:tcBorders>
          </w:tcPr>
          <w:p>
            <w:pPr>
              <w:spacing w:after="0"/>
              <w:rPr>
                <w:sz w:val="20"/>
                <w:szCs w:val="20"/>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417,995</w:t>
            </w:r>
          </w:p>
        </w:tc>
        <w:tc>
          <w:tcPr>
            <w:tcW w:w="100" w:type="dxa"/>
            <w:vAlign w:val="bottom"/>
            <w:tcBorders>
              <w:bottom w:val="single" w:sz="8" w:color="CCEEFF"/>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350,813</w:t>
            </w:r>
          </w:p>
        </w:tc>
        <w:tc>
          <w:tcPr>
            <w:tcW w:w="0" w:type="dxa"/>
            <w:vAlign w:val="bottom"/>
          </w:tcPr>
          <w:p>
            <w:pPr>
              <w:spacing w:after="0"/>
              <w:rPr>
                <w:sz w:val="1"/>
                <w:szCs w:val="1"/>
                <w:color w:val="auto"/>
              </w:rPr>
            </w:pPr>
          </w:p>
        </w:tc>
      </w:tr>
      <w:tr>
        <w:trPr>
          <w:trHeight w:val="241"/>
        </w:trPr>
        <w:tc>
          <w:tcPr>
            <w:tcW w:w="7320" w:type="dxa"/>
            <w:vAlign w:val="bottom"/>
            <w:tcBorders>
              <w:top w:val="single" w:sz="8" w:color="CCEEFF"/>
              <w:bottom w:val="single" w:sz="8" w:color="CCEEFF"/>
            </w:tcBorders>
          </w:tcPr>
          <w:p>
            <w:pPr>
              <w:ind w:left="20"/>
              <w:spacing w:after="0"/>
              <w:rPr>
                <w:sz w:val="20"/>
                <w:szCs w:val="20"/>
                <w:color w:val="auto"/>
              </w:rPr>
            </w:pPr>
            <w:r>
              <w:rPr>
                <w:rFonts w:ascii="Arial" w:cs="Arial" w:eastAsia="Arial" w:hAnsi="Arial"/>
                <w:sz w:val="17"/>
                <w:szCs w:val="17"/>
                <w:color w:val="auto"/>
              </w:rPr>
              <w:t>Commitments and contingencies</w:t>
            </w:r>
          </w:p>
        </w:tc>
        <w:tc>
          <w:tcPr>
            <w:tcW w:w="180" w:type="dxa"/>
            <w:vAlign w:val="bottom"/>
            <w:tcBorders>
              <w:top w:val="single" w:sz="8" w:color="CCEEFF"/>
              <w:bottom w:val="single" w:sz="8" w:color="CCEEFF"/>
            </w:tcBorders>
          </w:tcPr>
          <w:p>
            <w:pPr>
              <w:spacing w:after="0"/>
              <w:rPr>
                <w:sz w:val="20"/>
                <w:szCs w:val="20"/>
                <w:color w:val="auto"/>
              </w:rPr>
            </w:pPr>
          </w:p>
        </w:tc>
        <w:tc>
          <w:tcPr>
            <w:tcW w:w="1720" w:type="dxa"/>
            <w:vAlign w:val="bottom"/>
            <w:tcBorders>
              <w:top w:val="single" w:sz="8" w:color="CCEEFF"/>
              <w:bottom w:val="single" w:sz="8" w:color="CCEEFF"/>
            </w:tcBorders>
          </w:tcPr>
          <w:p>
            <w:pPr>
              <w:spacing w:after="0"/>
              <w:rPr>
                <w:sz w:val="20"/>
                <w:szCs w:val="20"/>
                <w:color w:val="auto"/>
              </w:rPr>
            </w:pPr>
          </w:p>
        </w:tc>
        <w:tc>
          <w:tcPr>
            <w:tcW w:w="100" w:type="dxa"/>
            <w:vAlign w:val="bottom"/>
            <w:tcBorders>
              <w:top w:val="single" w:sz="8" w:color="CCEEFF"/>
              <w:bottom w:val="single" w:sz="8" w:color="CCEEFF"/>
            </w:tcBorders>
          </w:tcPr>
          <w:p>
            <w:pPr>
              <w:spacing w:after="0"/>
              <w:rPr>
                <w:sz w:val="20"/>
                <w:szCs w:val="20"/>
                <w:color w:val="auto"/>
              </w:rPr>
            </w:pPr>
          </w:p>
        </w:tc>
        <w:tc>
          <w:tcPr>
            <w:tcW w:w="180" w:type="dxa"/>
            <w:vAlign w:val="bottom"/>
            <w:tcBorders>
              <w:top w:val="single" w:sz="8" w:color="CCEEFF"/>
              <w:bottom w:val="single" w:sz="8" w:color="CCEEFF"/>
            </w:tcBorders>
          </w:tcPr>
          <w:p>
            <w:pPr>
              <w:spacing w:after="0"/>
              <w:rPr>
                <w:sz w:val="20"/>
                <w:szCs w:val="20"/>
                <w:color w:val="auto"/>
              </w:rPr>
            </w:pPr>
          </w:p>
        </w:tc>
        <w:tc>
          <w:tcPr>
            <w:tcW w:w="1720" w:type="dxa"/>
            <w:vAlign w:val="bottom"/>
            <w:tcBorders>
              <w:top w:val="single" w:sz="8" w:color="CCEEFF"/>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7320" w:type="dxa"/>
            <w:vAlign w:val="bottom"/>
          </w:tcPr>
          <w:p>
            <w:pPr>
              <w:ind w:left="20"/>
              <w:spacing w:after="0"/>
              <w:rPr>
                <w:sz w:val="20"/>
                <w:szCs w:val="20"/>
                <w:color w:val="auto"/>
              </w:rPr>
            </w:pPr>
            <w:r>
              <w:rPr>
                <w:rFonts w:ascii="Arial" w:cs="Arial" w:eastAsia="Arial" w:hAnsi="Arial"/>
                <w:sz w:val="17"/>
                <w:szCs w:val="17"/>
                <w:color w:val="auto"/>
              </w:rPr>
              <w:t>Stockholders’ equity:</w:t>
            </w:r>
          </w:p>
        </w:tc>
        <w:tc>
          <w:tcPr>
            <w:tcW w:w="1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7"/>
        </w:trPr>
        <w:tc>
          <w:tcPr>
            <w:tcW w:w="7320" w:type="dxa"/>
            <w:vAlign w:val="bottom"/>
            <w:shd w:val="clear" w:color="auto" w:fill="CCEEFF"/>
          </w:tcPr>
          <w:p>
            <w:pPr>
              <w:ind w:left="220"/>
              <w:spacing w:after="0" w:line="157" w:lineRule="exact"/>
              <w:rPr>
                <w:sz w:val="20"/>
                <w:szCs w:val="20"/>
                <w:color w:val="auto"/>
              </w:rPr>
            </w:pPr>
            <w:r>
              <w:rPr>
                <w:rFonts w:ascii="Arial" w:cs="Arial" w:eastAsia="Arial" w:hAnsi="Arial"/>
                <w:sz w:val="17"/>
                <w:szCs w:val="17"/>
                <w:color w:val="auto"/>
                <w:w w:val="88"/>
              </w:rPr>
              <w:t>Preferred Stock of $0.0001 par value; 100,000,000 shares authorized and none issued and outstanding at</w:t>
            </w:r>
          </w:p>
        </w:tc>
        <w:tc>
          <w:tcPr>
            <w:tcW w:w="180" w:type="dxa"/>
            <w:vAlign w:val="bottom"/>
            <w:shd w:val="clear" w:color="auto" w:fill="CCEEFF"/>
          </w:tcPr>
          <w:p>
            <w:pPr>
              <w:spacing w:after="0"/>
              <w:rPr>
                <w:sz w:val="13"/>
                <w:szCs w:val="13"/>
                <w:color w:val="auto"/>
              </w:rPr>
            </w:pPr>
          </w:p>
        </w:tc>
        <w:tc>
          <w:tcPr>
            <w:tcW w:w="1820" w:type="dxa"/>
            <w:vAlign w:val="bottom"/>
            <w:gridSpan w:val="2"/>
            <w:shd w:val="clear" w:color="auto" w:fill="CCEEFF"/>
          </w:tcPr>
          <w:p>
            <w:pPr>
              <w:jc w:val="right"/>
              <w:ind w:right="180"/>
              <w:spacing w:after="0" w:line="157" w:lineRule="exact"/>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3"/>
                <w:szCs w:val="13"/>
                <w:color w:val="auto"/>
              </w:rPr>
            </w:pPr>
          </w:p>
        </w:tc>
        <w:tc>
          <w:tcPr>
            <w:tcW w:w="1720" w:type="dxa"/>
            <w:vAlign w:val="bottom"/>
            <w:shd w:val="clear" w:color="auto" w:fill="CCEEFF"/>
          </w:tcPr>
          <w:p>
            <w:pPr>
              <w:jc w:val="right"/>
              <w:spacing w:after="0" w:line="157"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September 30, 2021 and December 31, 2020, respectively</w:t>
            </w: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57"/>
        </w:trPr>
        <w:tc>
          <w:tcPr>
            <w:tcW w:w="7320" w:type="dxa"/>
            <w:vAlign w:val="bottom"/>
          </w:tcPr>
          <w:p>
            <w:pPr>
              <w:ind w:left="220"/>
              <w:spacing w:after="0" w:line="157" w:lineRule="exact"/>
              <w:rPr>
                <w:sz w:val="20"/>
                <w:szCs w:val="20"/>
                <w:color w:val="auto"/>
              </w:rPr>
            </w:pPr>
            <w:r>
              <w:rPr>
                <w:rFonts w:ascii="Arial" w:cs="Arial" w:eastAsia="Arial" w:hAnsi="Arial"/>
                <w:sz w:val="17"/>
                <w:szCs w:val="17"/>
                <w:color w:val="auto"/>
                <w:w w:val="92"/>
              </w:rPr>
              <w:t>Series A Preferred Convertible Stock of $0.0001 par value; one share authorized and none issued and</w:t>
            </w:r>
          </w:p>
        </w:tc>
        <w:tc>
          <w:tcPr>
            <w:tcW w:w="180" w:type="dxa"/>
            <w:vAlign w:val="bottom"/>
          </w:tcPr>
          <w:p>
            <w:pPr>
              <w:spacing w:after="0"/>
              <w:rPr>
                <w:sz w:val="13"/>
                <w:szCs w:val="13"/>
                <w:color w:val="auto"/>
              </w:rPr>
            </w:pPr>
          </w:p>
        </w:tc>
        <w:tc>
          <w:tcPr>
            <w:tcW w:w="1820" w:type="dxa"/>
            <w:vAlign w:val="bottom"/>
            <w:gridSpan w:val="2"/>
          </w:tcPr>
          <w:p>
            <w:pPr>
              <w:jc w:val="right"/>
              <w:ind w:right="180"/>
              <w:spacing w:after="0" w:line="157" w:lineRule="exact"/>
              <w:rPr>
                <w:sz w:val="20"/>
                <w:szCs w:val="20"/>
                <w:color w:val="auto"/>
              </w:rPr>
            </w:pPr>
            <w:r>
              <w:rPr>
                <w:rFonts w:ascii="Arial" w:cs="Arial" w:eastAsia="Arial" w:hAnsi="Arial"/>
                <w:sz w:val="17"/>
                <w:szCs w:val="17"/>
                <w:color w:val="auto"/>
              </w:rPr>
              <w:t>—</w:t>
            </w:r>
          </w:p>
        </w:tc>
        <w:tc>
          <w:tcPr>
            <w:tcW w:w="180" w:type="dxa"/>
            <w:vAlign w:val="bottom"/>
          </w:tcPr>
          <w:p>
            <w:pPr>
              <w:spacing w:after="0"/>
              <w:rPr>
                <w:sz w:val="13"/>
                <w:szCs w:val="13"/>
                <w:color w:val="auto"/>
              </w:rPr>
            </w:pPr>
          </w:p>
        </w:tc>
        <w:tc>
          <w:tcPr>
            <w:tcW w:w="1720" w:type="dxa"/>
            <w:vAlign w:val="bottom"/>
          </w:tcPr>
          <w:p>
            <w:pPr>
              <w:jc w:val="right"/>
              <w:spacing w:after="0" w:line="157"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9"/>
        </w:trPr>
        <w:tc>
          <w:tcPr>
            <w:tcW w:w="7320" w:type="dxa"/>
            <w:vAlign w:val="bottom"/>
          </w:tcPr>
          <w:p>
            <w:pPr>
              <w:ind w:left="220"/>
              <w:spacing w:after="0"/>
              <w:rPr>
                <w:sz w:val="20"/>
                <w:szCs w:val="20"/>
                <w:color w:val="auto"/>
              </w:rPr>
            </w:pPr>
            <w:r>
              <w:rPr>
                <w:rFonts w:ascii="Arial" w:cs="Arial" w:eastAsia="Arial" w:hAnsi="Arial"/>
                <w:sz w:val="17"/>
                <w:szCs w:val="17"/>
                <w:color w:val="auto"/>
              </w:rPr>
              <w:t>outstanding at September 30, 2021 and December 31, 2020, respectively</w:t>
            </w:r>
          </w:p>
        </w:tc>
        <w:tc>
          <w:tcPr>
            <w:tcW w:w="1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7"/>
        </w:trPr>
        <w:tc>
          <w:tcPr>
            <w:tcW w:w="7320" w:type="dxa"/>
            <w:vAlign w:val="bottom"/>
            <w:shd w:val="clear" w:color="auto" w:fill="CCEEFF"/>
          </w:tcPr>
          <w:p>
            <w:pPr>
              <w:ind w:left="220"/>
              <w:spacing w:after="0" w:line="157" w:lineRule="exact"/>
              <w:rPr>
                <w:sz w:val="20"/>
                <w:szCs w:val="20"/>
                <w:color w:val="auto"/>
              </w:rPr>
            </w:pPr>
            <w:r>
              <w:rPr>
                <w:rFonts w:ascii="Arial" w:cs="Arial" w:eastAsia="Arial" w:hAnsi="Arial"/>
                <w:sz w:val="17"/>
                <w:szCs w:val="17"/>
                <w:color w:val="auto"/>
                <w:w w:val="94"/>
              </w:rPr>
              <w:t>Voting Common Stock of $0.0001 par value; 2,150,000,000 and 1,900,000,000 shares authorized at</w:t>
            </w:r>
          </w:p>
        </w:tc>
        <w:tc>
          <w:tcPr>
            <w:tcW w:w="180" w:type="dxa"/>
            <w:vAlign w:val="bottom"/>
            <w:shd w:val="clear" w:color="auto" w:fill="CCEEFF"/>
          </w:tcPr>
          <w:p>
            <w:pPr>
              <w:spacing w:after="0"/>
              <w:rPr>
                <w:sz w:val="13"/>
                <w:szCs w:val="13"/>
                <w:color w:val="auto"/>
              </w:rPr>
            </w:pPr>
          </w:p>
        </w:tc>
        <w:tc>
          <w:tcPr>
            <w:tcW w:w="1720" w:type="dxa"/>
            <w:vAlign w:val="bottom"/>
            <w:shd w:val="clear" w:color="auto" w:fill="CCEEFF"/>
          </w:tcPr>
          <w:p>
            <w:pPr>
              <w:jc w:val="right"/>
              <w:spacing w:after="0" w:line="157" w:lineRule="exact"/>
              <w:rPr>
                <w:sz w:val="20"/>
                <w:szCs w:val="20"/>
                <w:color w:val="auto"/>
              </w:rPr>
            </w:pPr>
            <w:r>
              <w:rPr>
                <w:rFonts w:ascii="Arial" w:cs="Arial" w:eastAsia="Arial" w:hAnsi="Arial"/>
                <w:sz w:val="17"/>
                <w:szCs w:val="17"/>
                <w:color w:val="auto"/>
              </w:rPr>
              <w:t>179</w:t>
            </w: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720" w:type="dxa"/>
            <w:vAlign w:val="bottom"/>
            <w:shd w:val="clear" w:color="auto" w:fill="CCEEFF"/>
          </w:tcPr>
          <w:p>
            <w:pPr>
              <w:jc w:val="right"/>
              <w:spacing w:after="0" w:line="157" w:lineRule="exact"/>
              <w:rPr>
                <w:sz w:val="20"/>
                <w:szCs w:val="20"/>
                <w:color w:val="auto"/>
              </w:rPr>
            </w:pPr>
            <w:r>
              <w:rPr>
                <w:rFonts w:ascii="Arial" w:cs="Arial" w:eastAsia="Arial" w:hAnsi="Arial"/>
                <w:sz w:val="17"/>
                <w:szCs w:val="17"/>
                <w:color w:val="auto"/>
              </w:rPr>
              <w:t>167</w:t>
            </w:r>
          </w:p>
        </w:tc>
        <w:tc>
          <w:tcPr>
            <w:tcW w:w="0" w:type="dxa"/>
            <w:vAlign w:val="bottom"/>
          </w:tcPr>
          <w:p>
            <w:pPr>
              <w:spacing w:after="0"/>
              <w:rPr>
                <w:sz w:val="1"/>
                <w:szCs w:val="1"/>
                <w:color w:val="auto"/>
              </w:rPr>
            </w:pPr>
          </w:p>
        </w:tc>
      </w:tr>
      <w:tr>
        <w:trPr>
          <w:trHeight w:val="157"/>
        </w:trPr>
        <w:tc>
          <w:tcPr>
            <w:tcW w:w="7320" w:type="dxa"/>
            <w:vAlign w:val="bottom"/>
            <w:shd w:val="clear" w:color="auto" w:fill="CCEEFF"/>
          </w:tcPr>
          <w:p>
            <w:pPr>
              <w:ind w:left="220"/>
              <w:spacing w:after="0" w:line="157" w:lineRule="exact"/>
              <w:rPr>
                <w:sz w:val="20"/>
                <w:szCs w:val="20"/>
                <w:color w:val="auto"/>
              </w:rPr>
            </w:pPr>
            <w:r>
              <w:rPr>
                <w:rFonts w:ascii="Arial" w:cs="Arial" w:eastAsia="Arial" w:hAnsi="Arial"/>
                <w:sz w:val="17"/>
                <w:szCs w:val="17"/>
                <w:color w:val="auto"/>
                <w:w w:val="86"/>
              </w:rPr>
              <w:t>September 30, 2021 and December 31, 2020, respectively; 1,793,306,938 and 1,674,668,617 shares issued</w:t>
            </w:r>
          </w:p>
        </w:tc>
        <w:tc>
          <w:tcPr>
            <w:tcW w:w="180" w:type="dxa"/>
            <w:vAlign w:val="bottom"/>
            <w:shd w:val="clear" w:color="auto" w:fill="CCEEFF"/>
          </w:tcPr>
          <w:p>
            <w:pPr>
              <w:spacing w:after="0"/>
              <w:rPr>
                <w:sz w:val="13"/>
                <w:szCs w:val="13"/>
                <w:color w:val="auto"/>
              </w:rPr>
            </w:pPr>
          </w:p>
        </w:tc>
        <w:tc>
          <w:tcPr>
            <w:tcW w:w="17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7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and outstanding at September 30, 2021 and December 31, 2020, respectively</w:t>
            </w: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57"/>
        </w:trPr>
        <w:tc>
          <w:tcPr>
            <w:tcW w:w="7320" w:type="dxa"/>
            <w:vAlign w:val="bottom"/>
          </w:tcPr>
          <w:p>
            <w:pPr>
              <w:ind w:left="220"/>
              <w:spacing w:after="0" w:line="157" w:lineRule="exact"/>
              <w:rPr>
                <w:sz w:val="20"/>
                <w:szCs w:val="20"/>
                <w:color w:val="auto"/>
              </w:rPr>
            </w:pPr>
            <w:r>
              <w:rPr>
                <w:rFonts w:ascii="Arial" w:cs="Arial" w:eastAsia="Arial" w:hAnsi="Arial"/>
                <w:sz w:val="17"/>
                <w:szCs w:val="17"/>
                <w:color w:val="auto"/>
                <w:w w:val="88"/>
              </w:rPr>
              <w:t>Nonvoting Common Stock of $0.0001 par value; no shares authorized and none issued and outstanding at</w:t>
            </w:r>
          </w:p>
        </w:tc>
        <w:tc>
          <w:tcPr>
            <w:tcW w:w="180" w:type="dxa"/>
            <w:vAlign w:val="bottom"/>
          </w:tcPr>
          <w:p>
            <w:pPr>
              <w:spacing w:after="0"/>
              <w:rPr>
                <w:sz w:val="13"/>
                <w:szCs w:val="13"/>
                <w:color w:val="auto"/>
              </w:rPr>
            </w:pPr>
          </w:p>
        </w:tc>
        <w:tc>
          <w:tcPr>
            <w:tcW w:w="1820" w:type="dxa"/>
            <w:vAlign w:val="bottom"/>
            <w:gridSpan w:val="2"/>
          </w:tcPr>
          <w:p>
            <w:pPr>
              <w:jc w:val="right"/>
              <w:ind w:right="180"/>
              <w:spacing w:after="0" w:line="157" w:lineRule="exact"/>
              <w:rPr>
                <w:sz w:val="20"/>
                <w:szCs w:val="20"/>
                <w:color w:val="auto"/>
              </w:rPr>
            </w:pPr>
            <w:r>
              <w:rPr>
                <w:rFonts w:ascii="Arial" w:cs="Arial" w:eastAsia="Arial" w:hAnsi="Arial"/>
                <w:sz w:val="17"/>
                <w:szCs w:val="17"/>
                <w:color w:val="auto"/>
              </w:rPr>
              <w:t>—</w:t>
            </w:r>
          </w:p>
        </w:tc>
        <w:tc>
          <w:tcPr>
            <w:tcW w:w="180" w:type="dxa"/>
            <w:vAlign w:val="bottom"/>
          </w:tcPr>
          <w:p>
            <w:pPr>
              <w:spacing w:after="0"/>
              <w:rPr>
                <w:sz w:val="13"/>
                <w:szCs w:val="13"/>
                <w:color w:val="auto"/>
              </w:rPr>
            </w:pPr>
          </w:p>
        </w:tc>
        <w:tc>
          <w:tcPr>
            <w:tcW w:w="1720" w:type="dxa"/>
            <w:vAlign w:val="bottom"/>
          </w:tcPr>
          <w:p>
            <w:pPr>
              <w:jc w:val="right"/>
              <w:spacing w:after="0" w:line="157"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9"/>
        </w:trPr>
        <w:tc>
          <w:tcPr>
            <w:tcW w:w="7320" w:type="dxa"/>
            <w:vAlign w:val="bottom"/>
          </w:tcPr>
          <w:p>
            <w:pPr>
              <w:ind w:left="220"/>
              <w:spacing w:after="0"/>
              <w:rPr>
                <w:sz w:val="20"/>
                <w:szCs w:val="20"/>
                <w:color w:val="auto"/>
              </w:rPr>
            </w:pPr>
            <w:r>
              <w:rPr>
                <w:rFonts w:ascii="Arial" w:cs="Arial" w:eastAsia="Arial" w:hAnsi="Arial"/>
                <w:sz w:val="17"/>
                <w:szCs w:val="17"/>
                <w:color w:val="auto"/>
              </w:rPr>
              <w:t>September 30, 2021 and December 31, 2020, respectively</w:t>
            </w:r>
          </w:p>
        </w:tc>
        <w:tc>
          <w:tcPr>
            <w:tcW w:w="1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Additional paid-in capital</w:t>
            </w: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2,144,012</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2,096,566</w:t>
            </w:r>
          </w:p>
        </w:tc>
        <w:tc>
          <w:tcPr>
            <w:tcW w:w="0" w:type="dxa"/>
            <w:vAlign w:val="bottom"/>
          </w:tcPr>
          <w:p>
            <w:pPr>
              <w:spacing w:after="0"/>
              <w:rPr>
                <w:sz w:val="1"/>
                <w:szCs w:val="1"/>
                <w:color w:val="auto"/>
              </w:rPr>
            </w:pPr>
          </w:p>
        </w:tc>
      </w:tr>
      <w:tr>
        <w:trPr>
          <w:trHeight w:val="209"/>
        </w:trPr>
        <w:tc>
          <w:tcPr>
            <w:tcW w:w="7320" w:type="dxa"/>
            <w:vAlign w:val="bottom"/>
          </w:tcPr>
          <w:p>
            <w:pPr>
              <w:ind w:left="220"/>
              <w:spacing w:after="0"/>
              <w:rPr>
                <w:sz w:val="20"/>
                <w:szCs w:val="20"/>
                <w:color w:val="auto"/>
              </w:rPr>
            </w:pPr>
            <w:r>
              <w:rPr>
                <w:rFonts w:ascii="Arial" w:cs="Arial" w:eastAsia="Arial" w:hAnsi="Arial"/>
                <w:sz w:val="17"/>
                <w:szCs w:val="17"/>
                <w:color w:val="auto"/>
              </w:rPr>
              <w:t>Accumulated other comprehensive income (loss)</w:t>
            </w:r>
          </w:p>
        </w:tc>
        <w:tc>
          <w:tcPr>
            <w:tcW w:w="18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325</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(2,944)</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Retained deficit</w:t>
            </w:r>
          </w:p>
        </w:tc>
        <w:tc>
          <w:tcPr>
            <w:tcW w:w="180" w:type="dxa"/>
            <w:vAlign w:val="bottom"/>
            <w:tcBorders>
              <w:bottom w:val="single" w:sz="8" w:color="auto"/>
            </w:tcBorders>
            <w:shd w:val="clear" w:color="auto" w:fill="CCEEFF"/>
          </w:tcPr>
          <w:p>
            <w:pPr>
              <w:spacing w:after="0"/>
              <w:rPr>
                <w:sz w:val="18"/>
                <w:szCs w:val="18"/>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(1,759,391)</w:t>
            </w: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(1,670,724)</w:t>
            </w:r>
          </w:p>
        </w:tc>
        <w:tc>
          <w:tcPr>
            <w:tcW w:w="0" w:type="dxa"/>
            <w:vAlign w:val="bottom"/>
          </w:tcPr>
          <w:p>
            <w:pPr>
              <w:spacing w:after="0"/>
              <w:rPr>
                <w:sz w:val="1"/>
                <w:szCs w:val="1"/>
                <w:color w:val="auto"/>
              </w:rPr>
            </w:pPr>
          </w:p>
        </w:tc>
      </w:tr>
      <w:tr>
        <w:trPr>
          <w:trHeight w:val="202"/>
        </w:trPr>
        <w:tc>
          <w:tcPr>
            <w:tcW w:w="7320" w:type="dxa"/>
            <w:vAlign w:val="bottom"/>
            <w:tcBorders>
              <w:bottom w:val="single" w:sz="8" w:color="CCEEFF"/>
            </w:tcBorders>
          </w:tcPr>
          <w:p>
            <w:pPr>
              <w:ind w:left="440"/>
              <w:spacing w:after="0" w:line="189" w:lineRule="exact"/>
              <w:rPr>
                <w:sz w:val="20"/>
                <w:szCs w:val="20"/>
                <w:color w:val="auto"/>
              </w:rPr>
            </w:pPr>
            <w:r>
              <w:rPr>
                <w:rFonts w:ascii="Arial" w:cs="Arial" w:eastAsia="Arial" w:hAnsi="Arial"/>
                <w:sz w:val="17"/>
                <w:szCs w:val="17"/>
                <w:color w:val="auto"/>
              </w:rPr>
              <w:t>Total stockholders’ equity</w:t>
            </w:r>
          </w:p>
        </w:tc>
        <w:tc>
          <w:tcPr>
            <w:tcW w:w="180" w:type="dxa"/>
            <w:vAlign w:val="bottom"/>
            <w:tcBorders>
              <w:bottom w:val="single" w:sz="8" w:color="auto"/>
            </w:tcBorders>
          </w:tcPr>
          <w:p>
            <w:pPr>
              <w:spacing w:after="0"/>
              <w:rPr>
                <w:sz w:val="17"/>
                <w:szCs w:val="17"/>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385,125</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423,065</w:t>
            </w:r>
          </w:p>
        </w:tc>
        <w:tc>
          <w:tcPr>
            <w:tcW w:w="0" w:type="dxa"/>
            <w:vAlign w:val="bottom"/>
          </w:tcPr>
          <w:p>
            <w:pPr>
              <w:spacing w:after="0"/>
              <w:rPr>
                <w:sz w:val="1"/>
                <w:szCs w:val="1"/>
                <w:color w:val="auto"/>
              </w:rPr>
            </w:pPr>
          </w:p>
        </w:tc>
      </w:tr>
      <w:tr>
        <w:trPr>
          <w:trHeight w:val="227"/>
        </w:trPr>
        <w:tc>
          <w:tcPr>
            <w:tcW w:w="7320" w:type="dxa"/>
            <w:vAlign w:val="bottom"/>
            <w:tcBorders>
              <w:bottom w:val="single" w:sz="8" w:color="CCEEFF"/>
            </w:tcBorders>
            <w:shd w:val="clear" w:color="auto" w:fill="CCEEFF"/>
          </w:tcPr>
          <w:p>
            <w:pPr>
              <w:ind w:left="640"/>
              <w:spacing w:after="0" w:line="189" w:lineRule="exact"/>
              <w:rPr>
                <w:sz w:val="20"/>
                <w:szCs w:val="20"/>
                <w:color w:val="auto"/>
              </w:rPr>
            </w:pPr>
            <w:r>
              <w:rPr>
                <w:rFonts w:ascii="Arial" w:cs="Arial" w:eastAsia="Arial" w:hAnsi="Arial"/>
                <w:sz w:val="17"/>
                <w:szCs w:val="17"/>
                <w:color w:val="auto"/>
              </w:rPr>
              <w:t>Total liabilities and stockholders’ equity</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884,115</w:t>
            </w:r>
          </w:p>
        </w:tc>
        <w:tc>
          <w:tcPr>
            <w:tcW w:w="10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888,093</w:t>
            </w:r>
          </w:p>
        </w:tc>
        <w:tc>
          <w:tcPr>
            <w:tcW w:w="0" w:type="dxa"/>
            <w:vAlign w:val="bottom"/>
          </w:tcPr>
          <w:p>
            <w:pPr>
              <w:spacing w:after="0"/>
              <w:rPr>
                <w:sz w:val="1"/>
                <w:szCs w:val="1"/>
                <w:color w:val="auto"/>
              </w:rPr>
            </w:pPr>
          </w:p>
        </w:tc>
      </w:tr>
      <w:tr>
        <w:trPr>
          <w:trHeight w:val="20"/>
        </w:trPr>
        <w:tc>
          <w:tcPr>
            <w:tcW w:w="73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4" w:lineRule="exact"/>
        <w:rPr>
          <w:sz w:val="20"/>
          <w:szCs w:val="20"/>
          <w:color w:val="auto"/>
        </w:rPr>
      </w:pPr>
    </w:p>
    <w:p>
      <w:pPr>
        <w:jc w:val="center"/>
        <w:ind w:right="60"/>
        <w:spacing w:after="0"/>
        <w:rPr>
          <w:sz w:val="20"/>
          <w:szCs w:val="20"/>
          <w:color w:val="auto"/>
        </w:rPr>
      </w:pPr>
      <w:r>
        <w:rPr>
          <w:rFonts w:ascii="Arial" w:cs="Arial" w:eastAsia="Arial" w:hAnsi="Arial"/>
          <w:sz w:val="17"/>
          <w:szCs w:val="17"/>
          <w:color w:val="auto"/>
        </w:rPr>
        <w:t>See accompanying notes to unaudited interim condensed consolidated financial statements.</w:t>
      </w:r>
    </w:p>
    <w:p>
      <w:pPr>
        <w:spacing w:after="0" w:line="200" w:lineRule="exact"/>
        <w:rPr>
          <w:sz w:val="20"/>
          <w:szCs w:val="20"/>
          <w:color w:val="auto"/>
        </w:rPr>
      </w:pPr>
    </w:p>
    <w:p>
      <w:pPr>
        <w:spacing w:after="0" w:line="342"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70485</wp:posOffset>
            </wp:positionV>
            <wp:extent cx="7162165" cy="419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40" w:top="914" w:right="339" w:bottom="1440" w:gutter="0" w:footer="0" w:header="0"/>
        </w:sectPr>
      </w:pPr>
    </w:p>
    <w:bookmarkStart w:id="4" w:name="page5"/>
    <w:bookmarkEnd w:id="4"/>
    <w:p>
      <w:pPr>
        <w:jc w:val="center"/>
        <w:ind w:right="80"/>
        <w:spacing w:after="0"/>
        <w:rPr>
          <w:sz w:val="20"/>
          <w:szCs w:val="20"/>
          <w:color w:val="auto"/>
        </w:rPr>
      </w:pPr>
      <w:r>
        <w:rPr>
          <w:rFonts w:ascii="Arial" w:cs="Arial" w:eastAsia="Arial" w:hAnsi="Arial"/>
          <w:sz w:val="17"/>
          <w:szCs w:val="17"/>
          <w:b w:val="1"/>
          <w:bCs w:val="1"/>
          <w:color w:val="auto"/>
        </w:rPr>
        <w:t>GLOBALSTAR, INC.</w:t>
      </w:r>
    </w:p>
    <w:p>
      <w:pPr>
        <w:spacing w:after="0" w:line="5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STATEMENTS OF STOCKHOLDERS' EQUITY</w:t>
      </w:r>
    </w:p>
    <w:p>
      <w:pPr>
        <w:spacing w:after="0" w:line="53" w:lineRule="exact"/>
        <w:rPr>
          <w:sz w:val="20"/>
          <w:szCs w:val="20"/>
          <w:color w:val="auto"/>
        </w:rPr>
      </w:pPr>
    </w:p>
    <w:p>
      <w:pPr>
        <w:ind w:left="5060"/>
        <w:spacing w:after="0"/>
        <w:rPr>
          <w:sz w:val="20"/>
          <w:szCs w:val="20"/>
          <w:color w:val="auto"/>
        </w:rPr>
      </w:pPr>
      <w:r>
        <w:rPr>
          <w:rFonts w:ascii="Arial" w:cs="Arial" w:eastAsia="Arial" w:hAnsi="Arial"/>
          <w:sz w:val="17"/>
          <w:szCs w:val="17"/>
          <w:b w:val="1"/>
          <w:bCs w:val="1"/>
          <w:color w:val="auto"/>
        </w:rPr>
        <w:t>(In thousands)</w:t>
      </w:r>
    </w:p>
    <w:p>
      <w:pPr>
        <w:spacing w:after="0" w:line="53" w:lineRule="exact"/>
        <w:rPr>
          <w:sz w:val="20"/>
          <w:szCs w:val="20"/>
          <w:color w:val="auto"/>
        </w:rPr>
      </w:pPr>
    </w:p>
    <w:p>
      <w:pPr>
        <w:ind w:left="5160"/>
        <w:spacing w:after="0"/>
        <w:rPr>
          <w:sz w:val="20"/>
          <w:szCs w:val="20"/>
          <w:color w:val="auto"/>
        </w:rPr>
      </w:pPr>
      <w:r>
        <w:rPr>
          <w:rFonts w:ascii="Arial" w:cs="Arial" w:eastAsia="Arial" w:hAnsi="Arial"/>
          <w:sz w:val="17"/>
          <w:szCs w:val="17"/>
          <w:b w:val="1"/>
          <w:bCs w:val="1"/>
          <w:color w:val="auto"/>
        </w:rPr>
        <w:t>(Unaudited)</w:t>
      </w:r>
    </w:p>
    <w:p>
      <w:pPr>
        <w:spacing w:after="0" w:line="104"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4280" w:type="dxa"/>
            <w:vAlign w:val="bottom"/>
          </w:tcPr>
          <w:p>
            <w:pPr>
              <w:spacing w:after="0"/>
              <w:rPr>
                <w:sz w:val="16"/>
                <w:szCs w:val="16"/>
                <w:color w:val="auto"/>
              </w:rPr>
            </w:pPr>
          </w:p>
        </w:tc>
        <w:tc>
          <w:tcPr>
            <w:tcW w:w="1100" w:type="dxa"/>
            <w:vAlign w:val="bottom"/>
            <w:vMerge w:val="restart"/>
          </w:tcPr>
          <w:p>
            <w:pPr>
              <w:jc w:val="right"/>
              <w:ind w:right="162"/>
              <w:spacing w:after="0"/>
              <w:rPr>
                <w:sz w:val="20"/>
                <w:szCs w:val="20"/>
                <w:color w:val="auto"/>
              </w:rPr>
            </w:pPr>
            <w:r>
              <w:rPr>
                <w:rFonts w:ascii="Arial" w:cs="Arial" w:eastAsia="Arial" w:hAnsi="Arial"/>
                <w:sz w:val="16"/>
                <w:szCs w:val="16"/>
                <w:b w:val="1"/>
                <w:bCs w:val="1"/>
                <w:color w:val="auto"/>
              </w:rPr>
              <w:t>Common</w:t>
            </w:r>
          </w:p>
        </w:tc>
        <w:tc>
          <w:tcPr>
            <w:tcW w:w="160" w:type="dxa"/>
            <w:vAlign w:val="bottom"/>
          </w:tcPr>
          <w:p>
            <w:pPr>
              <w:spacing w:after="0"/>
              <w:rPr>
                <w:sz w:val="16"/>
                <w:szCs w:val="16"/>
                <w:color w:val="auto"/>
              </w:rPr>
            </w:pPr>
          </w:p>
        </w:tc>
        <w:tc>
          <w:tcPr>
            <w:tcW w:w="800" w:type="dxa"/>
            <w:vAlign w:val="bottom"/>
          </w:tcPr>
          <w:p>
            <w:pPr>
              <w:jc w:val="center"/>
              <w:ind w:right="22"/>
              <w:spacing w:after="0"/>
              <w:rPr>
                <w:sz w:val="20"/>
                <w:szCs w:val="20"/>
                <w:color w:val="auto"/>
              </w:rPr>
            </w:pPr>
            <w:r>
              <w:rPr>
                <w:rFonts w:ascii="Arial" w:cs="Arial" w:eastAsia="Arial" w:hAnsi="Arial"/>
                <w:sz w:val="16"/>
                <w:szCs w:val="16"/>
                <w:b w:val="1"/>
                <w:bCs w:val="1"/>
                <w:color w:val="auto"/>
                <w:w w:val="89"/>
              </w:rPr>
              <w:t>Common</w:t>
            </w:r>
          </w:p>
        </w:tc>
        <w:tc>
          <w:tcPr>
            <w:tcW w:w="180" w:type="dxa"/>
            <w:vAlign w:val="bottom"/>
          </w:tcPr>
          <w:p>
            <w:pPr>
              <w:spacing w:after="0"/>
              <w:rPr>
                <w:sz w:val="16"/>
                <w:szCs w:val="16"/>
                <w:color w:val="auto"/>
              </w:rPr>
            </w:pPr>
          </w:p>
        </w:tc>
        <w:tc>
          <w:tcPr>
            <w:tcW w:w="980" w:type="dxa"/>
            <w:vAlign w:val="bottom"/>
          </w:tcPr>
          <w:p>
            <w:pPr>
              <w:jc w:val="right"/>
              <w:ind w:right="122"/>
              <w:spacing w:after="0"/>
              <w:rPr>
                <w:sz w:val="20"/>
                <w:szCs w:val="20"/>
                <w:color w:val="auto"/>
              </w:rPr>
            </w:pPr>
            <w:r>
              <w:rPr>
                <w:rFonts w:ascii="Arial" w:cs="Arial" w:eastAsia="Arial" w:hAnsi="Arial"/>
                <w:sz w:val="16"/>
                <w:szCs w:val="16"/>
                <w:b w:val="1"/>
                <w:bCs w:val="1"/>
                <w:color w:val="auto"/>
                <w:w w:val="97"/>
              </w:rPr>
              <w:t>Additional</w:t>
            </w:r>
          </w:p>
        </w:tc>
        <w:tc>
          <w:tcPr>
            <w:tcW w:w="1480" w:type="dxa"/>
            <w:vAlign w:val="bottom"/>
            <w:gridSpan w:val="2"/>
          </w:tcPr>
          <w:p>
            <w:pPr>
              <w:jc w:val="center"/>
              <w:spacing w:after="0"/>
              <w:rPr>
                <w:sz w:val="20"/>
                <w:szCs w:val="20"/>
                <w:color w:val="auto"/>
              </w:rPr>
            </w:pPr>
            <w:r>
              <w:rPr>
                <w:rFonts w:ascii="Arial" w:cs="Arial" w:eastAsia="Arial" w:hAnsi="Arial"/>
                <w:sz w:val="16"/>
                <w:szCs w:val="16"/>
                <w:b w:val="1"/>
                <w:bCs w:val="1"/>
                <w:color w:val="auto"/>
                <w:w w:val="89"/>
              </w:rPr>
              <w:t>Accumulated Other</w:t>
            </w:r>
          </w:p>
        </w:tc>
        <w:tc>
          <w:tcPr>
            <w:tcW w:w="200" w:type="dxa"/>
            <w:vAlign w:val="bottom"/>
          </w:tcPr>
          <w:p>
            <w:pPr>
              <w:spacing w:after="0"/>
              <w:rPr>
                <w:sz w:val="16"/>
                <w:szCs w:val="16"/>
                <w:color w:val="auto"/>
              </w:rPr>
            </w:pPr>
          </w:p>
        </w:tc>
        <w:tc>
          <w:tcPr>
            <w:tcW w:w="1000" w:type="dxa"/>
            <w:vAlign w:val="bottom"/>
            <w:vMerge w:val="restart"/>
          </w:tcPr>
          <w:p>
            <w:pPr>
              <w:jc w:val="right"/>
              <w:ind w:right="221"/>
              <w:spacing w:after="0"/>
              <w:rPr>
                <w:sz w:val="20"/>
                <w:szCs w:val="20"/>
                <w:color w:val="auto"/>
              </w:rPr>
            </w:pPr>
            <w:r>
              <w:rPr>
                <w:rFonts w:ascii="Arial" w:cs="Arial" w:eastAsia="Arial" w:hAnsi="Arial"/>
                <w:sz w:val="16"/>
                <w:szCs w:val="16"/>
                <w:b w:val="1"/>
                <w:bCs w:val="1"/>
                <w:color w:val="auto"/>
              </w:rPr>
              <w:t>Retained</w:t>
            </w:r>
          </w:p>
        </w:tc>
        <w:tc>
          <w:tcPr>
            <w:tcW w:w="2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7"/>
        </w:trPr>
        <w:tc>
          <w:tcPr>
            <w:tcW w:w="4280" w:type="dxa"/>
            <w:vAlign w:val="bottom"/>
          </w:tcPr>
          <w:p>
            <w:pPr>
              <w:spacing w:after="0"/>
              <w:rPr>
                <w:sz w:val="13"/>
                <w:szCs w:val="13"/>
                <w:color w:val="auto"/>
              </w:rPr>
            </w:pPr>
          </w:p>
        </w:tc>
        <w:tc>
          <w:tcPr>
            <w:tcW w:w="110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jc w:val="center"/>
              <w:ind w:right="22"/>
              <w:spacing w:after="0" w:line="157" w:lineRule="exact"/>
              <w:rPr>
                <w:sz w:val="20"/>
                <w:szCs w:val="20"/>
                <w:color w:val="auto"/>
              </w:rPr>
            </w:pPr>
            <w:r>
              <w:rPr>
                <w:rFonts w:ascii="Arial" w:cs="Arial" w:eastAsia="Arial" w:hAnsi="Arial"/>
                <w:sz w:val="16"/>
                <w:szCs w:val="16"/>
                <w:b w:val="1"/>
                <w:bCs w:val="1"/>
                <w:color w:val="auto"/>
                <w:w w:val="87"/>
              </w:rPr>
              <w:t>Stock</w:t>
            </w:r>
          </w:p>
        </w:tc>
        <w:tc>
          <w:tcPr>
            <w:tcW w:w="180" w:type="dxa"/>
            <w:vAlign w:val="bottom"/>
          </w:tcPr>
          <w:p>
            <w:pPr>
              <w:spacing w:after="0"/>
              <w:rPr>
                <w:sz w:val="13"/>
                <w:szCs w:val="13"/>
                <w:color w:val="auto"/>
              </w:rPr>
            </w:pPr>
          </w:p>
        </w:tc>
        <w:tc>
          <w:tcPr>
            <w:tcW w:w="980" w:type="dxa"/>
            <w:vAlign w:val="bottom"/>
          </w:tcPr>
          <w:p>
            <w:pPr>
              <w:jc w:val="right"/>
              <w:ind w:right="222"/>
              <w:spacing w:after="0" w:line="157" w:lineRule="exact"/>
              <w:rPr>
                <w:sz w:val="20"/>
                <w:szCs w:val="20"/>
                <w:color w:val="auto"/>
              </w:rPr>
            </w:pPr>
            <w:r>
              <w:rPr>
                <w:rFonts w:ascii="Arial" w:cs="Arial" w:eastAsia="Arial" w:hAnsi="Arial"/>
                <w:sz w:val="16"/>
                <w:szCs w:val="16"/>
                <w:b w:val="1"/>
                <w:bCs w:val="1"/>
                <w:color w:val="auto"/>
              </w:rPr>
              <w:t>Paid-In</w:t>
            </w:r>
          </w:p>
        </w:tc>
        <w:tc>
          <w:tcPr>
            <w:tcW w:w="180" w:type="dxa"/>
            <w:vAlign w:val="bottom"/>
          </w:tcPr>
          <w:p>
            <w:pPr>
              <w:spacing w:after="0"/>
              <w:rPr>
                <w:sz w:val="13"/>
                <w:szCs w:val="13"/>
                <w:color w:val="auto"/>
              </w:rPr>
            </w:pPr>
          </w:p>
        </w:tc>
        <w:tc>
          <w:tcPr>
            <w:tcW w:w="1300" w:type="dxa"/>
            <w:vAlign w:val="bottom"/>
          </w:tcPr>
          <w:p>
            <w:pPr>
              <w:jc w:val="center"/>
              <w:ind w:right="62"/>
              <w:spacing w:after="0" w:line="157" w:lineRule="exact"/>
              <w:rPr>
                <w:sz w:val="20"/>
                <w:szCs w:val="20"/>
                <w:color w:val="auto"/>
              </w:rPr>
            </w:pPr>
            <w:r>
              <w:rPr>
                <w:rFonts w:ascii="Arial" w:cs="Arial" w:eastAsia="Arial" w:hAnsi="Arial"/>
                <w:sz w:val="16"/>
                <w:szCs w:val="16"/>
                <w:b w:val="1"/>
                <w:bCs w:val="1"/>
                <w:color w:val="auto"/>
                <w:w w:val="86"/>
              </w:rPr>
              <w:t>Comprehensive</w:t>
            </w:r>
          </w:p>
        </w:tc>
        <w:tc>
          <w:tcPr>
            <w:tcW w:w="200" w:type="dxa"/>
            <w:vAlign w:val="bottom"/>
          </w:tcPr>
          <w:p>
            <w:pPr>
              <w:spacing w:after="0"/>
              <w:rPr>
                <w:sz w:val="13"/>
                <w:szCs w:val="13"/>
                <w:color w:val="auto"/>
              </w:rPr>
            </w:pPr>
          </w:p>
        </w:tc>
        <w:tc>
          <w:tcPr>
            <w:tcW w:w="1000" w:type="dxa"/>
            <w:vAlign w:val="bottom"/>
            <w:vMerge w:val="continue"/>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vMerge w:val="restart"/>
          </w:tcPr>
          <w:p>
            <w:pPr>
              <w:jc w:val="right"/>
              <w:ind w:right="281"/>
              <w:spacing w:after="0"/>
              <w:rPr>
                <w:sz w:val="20"/>
                <w:szCs w:val="20"/>
                <w:color w:val="auto"/>
              </w:rPr>
            </w:pPr>
            <w:r>
              <w:rPr>
                <w:rFonts w:ascii="Arial" w:cs="Arial" w:eastAsia="Arial" w:hAnsi="Arial"/>
                <w:sz w:val="16"/>
                <w:szCs w:val="16"/>
                <w:b w:val="1"/>
                <w:bCs w:val="1"/>
                <w:color w:val="auto"/>
              </w:rPr>
              <w:t>Total</w:t>
            </w:r>
          </w:p>
        </w:tc>
        <w:tc>
          <w:tcPr>
            <w:tcW w:w="0" w:type="dxa"/>
            <w:vAlign w:val="bottom"/>
          </w:tcPr>
          <w:p>
            <w:pPr>
              <w:spacing w:after="0"/>
              <w:rPr>
                <w:sz w:val="1"/>
                <w:szCs w:val="1"/>
                <w:color w:val="auto"/>
              </w:rPr>
            </w:pPr>
          </w:p>
        </w:tc>
      </w:tr>
      <w:tr>
        <w:trPr>
          <w:trHeight w:val="206"/>
        </w:trPr>
        <w:tc>
          <w:tcPr>
            <w:tcW w:w="4280" w:type="dxa"/>
            <w:vAlign w:val="bottom"/>
            <w:tcBorders>
              <w:bottom w:val="single" w:sz="8" w:color="CCEEFF"/>
            </w:tcBorders>
          </w:tcPr>
          <w:p>
            <w:pPr>
              <w:spacing w:after="0"/>
              <w:rPr>
                <w:sz w:val="17"/>
                <w:szCs w:val="17"/>
                <w:color w:val="auto"/>
              </w:rPr>
            </w:pPr>
          </w:p>
        </w:tc>
        <w:tc>
          <w:tcPr>
            <w:tcW w:w="1100" w:type="dxa"/>
            <w:vAlign w:val="bottom"/>
            <w:tcBorders>
              <w:bottom w:val="single" w:sz="8" w:color="auto"/>
            </w:tcBorders>
          </w:tcPr>
          <w:p>
            <w:pPr>
              <w:jc w:val="right"/>
              <w:ind w:right="242"/>
              <w:spacing w:after="0"/>
              <w:rPr>
                <w:sz w:val="20"/>
                <w:szCs w:val="20"/>
                <w:color w:val="auto"/>
              </w:rPr>
            </w:pPr>
            <w:r>
              <w:rPr>
                <w:rFonts w:ascii="Arial" w:cs="Arial" w:eastAsia="Arial" w:hAnsi="Arial"/>
                <w:sz w:val="16"/>
                <w:szCs w:val="16"/>
                <w:b w:val="1"/>
                <w:bCs w:val="1"/>
                <w:color w:val="auto"/>
              </w:rPr>
              <w:t>Shares</w:t>
            </w:r>
          </w:p>
        </w:tc>
        <w:tc>
          <w:tcPr>
            <w:tcW w:w="16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center"/>
              <w:ind w:right="22"/>
              <w:spacing w:after="0"/>
              <w:rPr>
                <w:sz w:val="20"/>
                <w:szCs w:val="20"/>
                <w:color w:val="auto"/>
              </w:rPr>
            </w:pPr>
            <w:r>
              <w:rPr>
                <w:rFonts w:ascii="Arial" w:cs="Arial" w:eastAsia="Arial" w:hAnsi="Arial"/>
                <w:sz w:val="16"/>
                <w:szCs w:val="16"/>
                <w:b w:val="1"/>
                <w:bCs w:val="1"/>
                <w:color w:val="auto"/>
                <w:w w:val="89"/>
              </w:rPr>
              <w:t>Amount</w:t>
            </w:r>
          </w:p>
        </w:tc>
        <w:tc>
          <w:tcPr>
            <w:tcW w:w="1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222"/>
              <w:spacing w:after="0"/>
              <w:rPr>
                <w:sz w:val="20"/>
                <w:szCs w:val="20"/>
                <w:color w:val="auto"/>
              </w:rPr>
            </w:pPr>
            <w:r>
              <w:rPr>
                <w:rFonts w:ascii="Arial" w:cs="Arial" w:eastAsia="Arial" w:hAnsi="Arial"/>
                <w:sz w:val="16"/>
                <w:szCs w:val="16"/>
                <w:b w:val="1"/>
                <w:bCs w:val="1"/>
                <w:color w:val="auto"/>
              </w:rPr>
              <w:t>Capital</w:t>
            </w:r>
          </w:p>
        </w:tc>
        <w:tc>
          <w:tcPr>
            <w:tcW w:w="18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center"/>
              <w:ind w:right="82"/>
              <w:spacing w:after="0"/>
              <w:rPr>
                <w:sz w:val="20"/>
                <w:szCs w:val="20"/>
                <w:color w:val="auto"/>
              </w:rPr>
            </w:pPr>
            <w:r>
              <w:rPr>
                <w:rFonts w:ascii="Arial" w:cs="Arial" w:eastAsia="Arial" w:hAnsi="Arial"/>
                <w:sz w:val="16"/>
                <w:szCs w:val="16"/>
                <w:b w:val="1"/>
                <w:bCs w:val="1"/>
                <w:color w:val="auto"/>
                <w:w w:val="86"/>
              </w:rPr>
              <w:t>Income (Loss)</w:t>
            </w:r>
          </w:p>
        </w:tc>
        <w:tc>
          <w:tcPr>
            <w:tcW w:w="20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301"/>
              <w:spacing w:after="0"/>
              <w:rPr>
                <w:sz w:val="20"/>
                <w:szCs w:val="20"/>
                <w:color w:val="auto"/>
              </w:rPr>
            </w:pPr>
            <w:r>
              <w:rPr>
                <w:rFonts w:ascii="Arial" w:cs="Arial" w:eastAsia="Arial" w:hAnsi="Arial"/>
                <w:sz w:val="16"/>
                <w:szCs w:val="16"/>
                <w:b w:val="1"/>
                <w:bCs w:val="1"/>
                <w:color w:val="auto"/>
              </w:rPr>
              <w:t>Deficit</w:t>
            </w:r>
          </w:p>
        </w:tc>
        <w:tc>
          <w:tcPr>
            <w:tcW w:w="24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4280" w:type="dxa"/>
            <w:vAlign w:val="bottom"/>
            <w:shd w:val="clear" w:color="auto" w:fill="CCEEFF"/>
          </w:tcPr>
          <w:p>
            <w:pPr>
              <w:ind w:left="20"/>
              <w:spacing w:after="0"/>
              <w:rPr>
                <w:sz w:val="20"/>
                <w:szCs w:val="20"/>
                <w:color w:val="auto"/>
              </w:rPr>
            </w:pPr>
            <w:r>
              <w:rPr>
                <w:rFonts w:ascii="Arial" w:cs="Arial" w:eastAsia="Arial" w:hAnsi="Arial"/>
                <w:sz w:val="16"/>
                <w:szCs w:val="16"/>
                <w:color w:val="auto"/>
              </w:rPr>
              <w:t>Balances – January 1, 2021</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1,674,669</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167</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2,096,566</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(2,944)</w:t>
            </w: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(1,670,724)</w:t>
            </w:r>
          </w:p>
        </w:tc>
        <w:tc>
          <w:tcPr>
            <w:tcW w:w="240" w:type="dxa"/>
            <w:vAlign w:val="bottom"/>
            <w:shd w:val="clear" w:color="auto" w:fill="CCEEFF"/>
          </w:tcPr>
          <w:p>
            <w:pPr>
              <w:jc w:val="right"/>
              <w:ind w:right="62"/>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423,065</w:t>
            </w:r>
          </w:p>
        </w:tc>
        <w:tc>
          <w:tcPr>
            <w:tcW w:w="0" w:type="dxa"/>
            <w:vAlign w:val="bottom"/>
          </w:tcPr>
          <w:p>
            <w:pPr>
              <w:spacing w:after="0"/>
              <w:rPr>
                <w:sz w:val="1"/>
                <w:szCs w:val="1"/>
                <w:color w:val="auto"/>
              </w:rPr>
            </w:pPr>
          </w:p>
        </w:tc>
      </w:tr>
      <w:tr>
        <w:trPr>
          <w:trHeight w:val="160"/>
        </w:trPr>
        <w:tc>
          <w:tcPr>
            <w:tcW w:w="4280" w:type="dxa"/>
            <w:vAlign w:val="bottom"/>
          </w:tcPr>
          <w:p>
            <w:pPr>
              <w:ind w:left="220"/>
              <w:spacing w:after="0" w:line="160" w:lineRule="exact"/>
              <w:rPr>
                <w:sz w:val="20"/>
                <w:szCs w:val="20"/>
                <w:color w:val="auto"/>
              </w:rPr>
            </w:pPr>
            <w:r>
              <w:rPr>
                <w:rFonts w:ascii="Arial" w:cs="Arial" w:eastAsia="Arial" w:hAnsi="Arial"/>
                <w:sz w:val="16"/>
                <w:szCs w:val="16"/>
                <w:color w:val="auto"/>
                <w:w w:val="90"/>
              </w:rPr>
              <w:t>Net issuance of restricted stock awards and stock for employee</w:t>
            </w:r>
          </w:p>
        </w:tc>
        <w:tc>
          <w:tcPr>
            <w:tcW w:w="1100" w:type="dxa"/>
            <w:vAlign w:val="bottom"/>
            <w:vMerge w:val="restart"/>
          </w:tcPr>
          <w:p>
            <w:pPr>
              <w:jc w:val="right"/>
              <w:spacing w:after="0"/>
              <w:rPr>
                <w:sz w:val="20"/>
                <w:szCs w:val="20"/>
                <w:color w:val="auto"/>
              </w:rPr>
            </w:pPr>
            <w:r>
              <w:rPr>
                <w:rFonts w:ascii="Arial" w:cs="Arial" w:eastAsia="Arial" w:hAnsi="Arial"/>
                <w:sz w:val="16"/>
                <w:szCs w:val="16"/>
                <w:color w:val="auto"/>
              </w:rPr>
              <w:t>1,998</w:t>
            </w:r>
          </w:p>
        </w:tc>
        <w:tc>
          <w:tcPr>
            <w:tcW w:w="160" w:type="dxa"/>
            <w:vAlign w:val="bottom"/>
          </w:tcPr>
          <w:p>
            <w:pPr>
              <w:spacing w:after="0"/>
              <w:rPr>
                <w:sz w:val="13"/>
                <w:szCs w:val="13"/>
                <w:color w:val="auto"/>
              </w:rPr>
            </w:pPr>
          </w:p>
        </w:tc>
        <w:tc>
          <w:tcPr>
            <w:tcW w:w="8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980" w:type="dxa"/>
            <w:vAlign w:val="bottom"/>
            <w:vMerge w:val="restart"/>
          </w:tcPr>
          <w:p>
            <w:pPr>
              <w:jc w:val="right"/>
              <w:spacing w:after="0"/>
              <w:rPr>
                <w:sz w:val="20"/>
                <w:szCs w:val="20"/>
                <w:color w:val="auto"/>
              </w:rPr>
            </w:pPr>
            <w:r>
              <w:rPr>
                <w:rFonts w:ascii="Arial" w:cs="Arial" w:eastAsia="Arial" w:hAnsi="Arial"/>
                <w:sz w:val="16"/>
                <w:szCs w:val="16"/>
                <w:color w:val="auto"/>
              </w:rPr>
              <w:t>1,932</w:t>
            </w:r>
          </w:p>
        </w:tc>
        <w:tc>
          <w:tcPr>
            <w:tcW w:w="180" w:type="dxa"/>
            <w:vAlign w:val="bottom"/>
          </w:tcPr>
          <w:p>
            <w:pPr>
              <w:spacing w:after="0"/>
              <w:rPr>
                <w:sz w:val="13"/>
                <w:szCs w:val="13"/>
                <w:color w:val="auto"/>
              </w:rPr>
            </w:pPr>
          </w:p>
        </w:tc>
        <w:tc>
          <w:tcPr>
            <w:tcW w:w="13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3"/>
                <w:szCs w:val="13"/>
                <w:color w:val="auto"/>
              </w:rPr>
            </w:pPr>
          </w:p>
        </w:tc>
        <w:tc>
          <w:tcPr>
            <w:tcW w:w="10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3"/>
                <w:szCs w:val="13"/>
                <w:color w:val="auto"/>
              </w:rPr>
            </w:pPr>
          </w:p>
        </w:tc>
        <w:tc>
          <w:tcPr>
            <w:tcW w:w="820" w:type="dxa"/>
            <w:vAlign w:val="bottom"/>
            <w:vMerge w:val="restart"/>
          </w:tcPr>
          <w:p>
            <w:pPr>
              <w:jc w:val="right"/>
              <w:spacing w:after="0"/>
              <w:rPr>
                <w:sz w:val="20"/>
                <w:szCs w:val="20"/>
                <w:color w:val="auto"/>
              </w:rPr>
            </w:pPr>
            <w:r>
              <w:rPr>
                <w:rFonts w:ascii="Arial" w:cs="Arial" w:eastAsia="Arial" w:hAnsi="Arial"/>
                <w:sz w:val="16"/>
                <w:szCs w:val="16"/>
                <w:color w:val="auto"/>
              </w:rPr>
              <w:t>1,932</w:t>
            </w:r>
          </w:p>
        </w:tc>
        <w:tc>
          <w:tcPr>
            <w:tcW w:w="0" w:type="dxa"/>
            <w:vAlign w:val="bottom"/>
          </w:tcPr>
          <w:p>
            <w:pPr>
              <w:spacing w:after="0"/>
              <w:rPr>
                <w:sz w:val="1"/>
                <w:szCs w:val="1"/>
                <w:color w:val="auto"/>
              </w:rPr>
            </w:pPr>
          </w:p>
        </w:tc>
      </w:tr>
      <w:tr>
        <w:trPr>
          <w:trHeight w:val="203"/>
        </w:trPr>
        <w:tc>
          <w:tcPr>
            <w:tcW w:w="4280" w:type="dxa"/>
            <w:vAlign w:val="bottom"/>
          </w:tcPr>
          <w:p>
            <w:pPr>
              <w:ind w:left="220"/>
              <w:spacing w:after="0"/>
              <w:rPr>
                <w:sz w:val="20"/>
                <w:szCs w:val="20"/>
                <w:color w:val="auto"/>
              </w:rPr>
            </w:pPr>
            <w:r>
              <w:rPr>
                <w:rFonts w:ascii="Arial" w:cs="Arial" w:eastAsia="Arial" w:hAnsi="Arial"/>
                <w:sz w:val="16"/>
                <w:szCs w:val="16"/>
                <w:color w:val="auto"/>
                <w:w w:val="96"/>
              </w:rPr>
              <w:t>stock options and recognition of stock-based compensation</w:t>
            </w:r>
          </w:p>
        </w:tc>
        <w:tc>
          <w:tcPr>
            <w:tcW w:w="110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80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130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000" w:type="dxa"/>
            <w:vAlign w:val="bottom"/>
            <w:vMerge w:val="continue"/>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42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Contribution of services</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w:t>
            </w:r>
          </w:p>
        </w:tc>
        <w:tc>
          <w:tcPr>
            <w:tcW w:w="0" w:type="dxa"/>
            <w:vAlign w:val="bottom"/>
          </w:tcPr>
          <w:p>
            <w:pPr>
              <w:spacing w:after="0"/>
              <w:rPr>
                <w:sz w:val="1"/>
                <w:szCs w:val="1"/>
                <w:color w:val="auto"/>
              </w:rPr>
            </w:pPr>
          </w:p>
        </w:tc>
      </w:tr>
      <w:tr>
        <w:trPr>
          <w:trHeight w:val="160"/>
        </w:trPr>
        <w:tc>
          <w:tcPr>
            <w:tcW w:w="4280" w:type="dxa"/>
            <w:vAlign w:val="bottom"/>
          </w:tcPr>
          <w:p>
            <w:pPr>
              <w:ind w:left="220"/>
              <w:spacing w:after="0" w:line="160" w:lineRule="exact"/>
              <w:rPr>
                <w:sz w:val="20"/>
                <w:szCs w:val="20"/>
                <w:color w:val="auto"/>
              </w:rPr>
            </w:pPr>
            <w:r>
              <w:rPr>
                <w:rFonts w:ascii="Arial" w:cs="Arial" w:eastAsia="Arial" w:hAnsi="Arial"/>
                <w:sz w:val="16"/>
                <w:szCs w:val="16"/>
                <w:color w:val="auto"/>
                <w:w w:val="93"/>
              </w:rPr>
              <w:t>Recognition of stock-based compensation of employee stock</w:t>
            </w:r>
          </w:p>
        </w:tc>
        <w:tc>
          <w:tcPr>
            <w:tcW w:w="11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8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980" w:type="dxa"/>
            <w:vAlign w:val="bottom"/>
            <w:vMerge w:val="restart"/>
          </w:tcPr>
          <w:p>
            <w:pPr>
              <w:jc w:val="right"/>
              <w:spacing w:after="0"/>
              <w:rPr>
                <w:sz w:val="20"/>
                <w:szCs w:val="20"/>
                <w:color w:val="auto"/>
              </w:rPr>
            </w:pPr>
            <w:r>
              <w:rPr>
                <w:rFonts w:ascii="Arial" w:cs="Arial" w:eastAsia="Arial" w:hAnsi="Arial"/>
                <w:sz w:val="16"/>
                <w:szCs w:val="16"/>
                <w:color w:val="auto"/>
              </w:rPr>
              <w:t>79</w:t>
            </w:r>
          </w:p>
        </w:tc>
        <w:tc>
          <w:tcPr>
            <w:tcW w:w="180" w:type="dxa"/>
            <w:vAlign w:val="bottom"/>
          </w:tcPr>
          <w:p>
            <w:pPr>
              <w:spacing w:after="0"/>
              <w:rPr>
                <w:sz w:val="13"/>
                <w:szCs w:val="13"/>
                <w:color w:val="auto"/>
              </w:rPr>
            </w:pPr>
          </w:p>
        </w:tc>
        <w:tc>
          <w:tcPr>
            <w:tcW w:w="13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3"/>
                <w:szCs w:val="13"/>
                <w:color w:val="auto"/>
              </w:rPr>
            </w:pPr>
          </w:p>
        </w:tc>
        <w:tc>
          <w:tcPr>
            <w:tcW w:w="10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3"/>
                <w:szCs w:val="13"/>
                <w:color w:val="auto"/>
              </w:rPr>
            </w:pPr>
          </w:p>
        </w:tc>
        <w:tc>
          <w:tcPr>
            <w:tcW w:w="820" w:type="dxa"/>
            <w:vAlign w:val="bottom"/>
            <w:vMerge w:val="restart"/>
          </w:tcPr>
          <w:p>
            <w:pPr>
              <w:jc w:val="right"/>
              <w:spacing w:after="0"/>
              <w:rPr>
                <w:sz w:val="20"/>
                <w:szCs w:val="20"/>
                <w:color w:val="auto"/>
              </w:rPr>
            </w:pPr>
            <w:r>
              <w:rPr>
                <w:rFonts w:ascii="Arial" w:cs="Arial" w:eastAsia="Arial" w:hAnsi="Arial"/>
                <w:sz w:val="16"/>
                <w:szCs w:val="16"/>
                <w:color w:val="auto"/>
              </w:rPr>
              <w:t>79</w:t>
            </w:r>
          </w:p>
        </w:tc>
        <w:tc>
          <w:tcPr>
            <w:tcW w:w="0" w:type="dxa"/>
            <w:vAlign w:val="bottom"/>
          </w:tcPr>
          <w:p>
            <w:pPr>
              <w:spacing w:after="0"/>
              <w:rPr>
                <w:sz w:val="1"/>
                <w:szCs w:val="1"/>
                <w:color w:val="auto"/>
              </w:rPr>
            </w:pPr>
          </w:p>
        </w:tc>
      </w:tr>
      <w:tr>
        <w:trPr>
          <w:trHeight w:val="203"/>
        </w:trPr>
        <w:tc>
          <w:tcPr>
            <w:tcW w:w="4280" w:type="dxa"/>
            <w:vAlign w:val="bottom"/>
          </w:tcPr>
          <w:p>
            <w:pPr>
              <w:ind w:left="220"/>
              <w:spacing w:after="0"/>
              <w:rPr>
                <w:sz w:val="20"/>
                <w:szCs w:val="20"/>
                <w:color w:val="auto"/>
              </w:rPr>
            </w:pPr>
            <w:r>
              <w:rPr>
                <w:rFonts w:ascii="Arial" w:cs="Arial" w:eastAsia="Arial" w:hAnsi="Arial"/>
                <w:sz w:val="16"/>
                <w:szCs w:val="16"/>
                <w:color w:val="auto"/>
              </w:rPr>
              <w:t>purchase plan</w:t>
            </w:r>
          </w:p>
        </w:tc>
        <w:tc>
          <w:tcPr>
            <w:tcW w:w="110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80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130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000" w:type="dxa"/>
            <w:vAlign w:val="bottom"/>
            <w:vMerge w:val="continue"/>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42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Issuance of stock for warrant exercises</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115,036</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w:t>
            </w:r>
          </w:p>
        </w:tc>
        <w:tc>
          <w:tcPr>
            <w:tcW w:w="1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43,666</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43,678</w:t>
            </w:r>
          </w:p>
        </w:tc>
        <w:tc>
          <w:tcPr>
            <w:tcW w:w="0" w:type="dxa"/>
            <w:vAlign w:val="bottom"/>
          </w:tcPr>
          <w:p>
            <w:pPr>
              <w:spacing w:after="0"/>
              <w:rPr>
                <w:sz w:val="1"/>
                <w:szCs w:val="1"/>
                <w:color w:val="auto"/>
              </w:rPr>
            </w:pPr>
          </w:p>
        </w:tc>
      </w:tr>
      <w:tr>
        <w:trPr>
          <w:trHeight w:val="206"/>
        </w:trPr>
        <w:tc>
          <w:tcPr>
            <w:tcW w:w="4280" w:type="dxa"/>
            <w:vAlign w:val="bottom"/>
          </w:tcPr>
          <w:p>
            <w:pPr>
              <w:ind w:left="220"/>
              <w:spacing w:after="0"/>
              <w:rPr>
                <w:sz w:val="20"/>
                <w:szCs w:val="20"/>
                <w:color w:val="auto"/>
              </w:rPr>
            </w:pPr>
            <w:r>
              <w:rPr>
                <w:rFonts w:ascii="Arial" w:cs="Arial" w:eastAsia="Arial" w:hAnsi="Arial"/>
                <w:sz w:val="16"/>
                <w:szCs w:val="16"/>
                <w:color w:val="auto"/>
              </w:rPr>
              <w:t>Other comprehensive income</w:t>
            </w: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3,242</w:t>
            </w:r>
          </w:p>
        </w:tc>
        <w:tc>
          <w:tcPr>
            <w:tcW w:w="2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3,242</w:t>
            </w:r>
          </w:p>
        </w:tc>
        <w:tc>
          <w:tcPr>
            <w:tcW w:w="0" w:type="dxa"/>
            <w:vAlign w:val="bottom"/>
          </w:tcPr>
          <w:p>
            <w:pPr>
              <w:spacing w:after="0"/>
              <w:rPr>
                <w:sz w:val="1"/>
                <w:szCs w:val="1"/>
                <w:color w:val="auto"/>
              </w:rPr>
            </w:pPr>
          </w:p>
        </w:tc>
      </w:tr>
      <w:tr>
        <w:trPr>
          <w:trHeight w:val="212"/>
        </w:trPr>
        <w:tc>
          <w:tcPr>
            <w:tcW w:w="42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Net loss</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(36,333)</w:t>
            </w:r>
          </w:p>
        </w:tc>
        <w:tc>
          <w:tcPr>
            <w:tcW w:w="24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(36,333)</w:t>
            </w:r>
          </w:p>
        </w:tc>
        <w:tc>
          <w:tcPr>
            <w:tcW w:w="0" w:type="dxa"/>
            <w:vAlign w:val="bottom"/>
          </w:tcPr>
          <w:p>
            <w:pPr>
              <w:spacing w:after="0"/>
              <w:rPr>
                <w:sz w:val="1"/>
                <w:szCs w:val="1"/>
                <w:color w:val="auto"/>
              </w:rPr>
            </w:pPr>
          </w:p>
        </w:tc>
      </w:tr>
      <w:tr>
        <w:trPr>
          <w:trHeight w:val="199"/>
        </w:trPr>
        <w:tc>
          <w:tcPr>
            <w:tcW w:w="428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Balances – March 31, 2021</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1,791,703</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179</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2,142,290</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298</w:t>
            </w:r>
          </w:p>
        </w:tc>
        <w:tc>
          <w:tcPr>
            <w:tcW w:w="200" w:type="dxa"/>
            <w:vAlign w:val="bottom"/>
            <w:tcBorders>
              <w:bottom w:val="single" w:sz="8" w:color="auto"/>
            </w:tcBorders>
          </w:tcPr>
          <w:p>
            <w:pPr>
              <w:jc w:val="right"/>
              <w:ind w:right="22"/>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(1,707,057)</w:t>
            </w:r>
          </w:p>
        </w:tc>
        <w:tc>
          <w:tcPr>
            <w:tcW w:w="240" w:type="dxa"/>
            <w:vAlign w:val="bottom"/>
            <w:tcBorders>
              <w:bottom w:val="single" w:sz="8" w:color="auto"/>
            </w:tcBorders>
          </w:tcPr>
          <w:p>
            <w:pPr>
              <w:jc w:val="right"/>
              <w:ind w:right="62"/>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435,710</w:t>
            </w:r>
          </w:p>
        </w:tc>
        <w:tc>
          <w:tcPr>
            <w:tcW w:w="0" w:type="dxa"/>
            <w:vAlign w:val="bottom"/>
          </w:tcPr>
          <w:p>
            <w:pPr>
              <w:spacing w:after="0"/>
              <w:rPr>
                <w:sz w:val="1"/>
                <w:szCs w:val="1"/>
                <w:color w:val="auto"/>
              </w:rPr>
            </w:pPr>
          </w:p>
        </w:tc>
      </w:tr>
      <w:tr>
        <w:trPr>
          <w:trHeight w:val="143"/>
        </w:trPr>
        <w:tc>
          <w:tcPr>
            <w:tcW w:w="4280" w:type="dxa"/>
            <w:vAlign w:val="bottom"/>
            <w:shd w:val="clear" w:color="auto" w:fill="CCEEFF"/>
          </w:tcPr>
          <w:p>
            <w:pPr>
              <w:ind w:left="220"/>
              <w:spacing w:after="0" w:line="143" w:lineRule="exact"/>
              <w:rPr>
                <w:sz w:val="20"/>
                <w:szCs w:val="20"/>
                <w:color w:val="auto"/>
              </w:rPr>
            </w:pPr>
            <w:r>
              <w:rPr>
                <w:rFonts w:ascii="Arial" w:cs="Arial" w:eastAsia="Arial" w:hAnsi="Arial"/>
                <w:sz w:val="16"/>
                <w:szCs w:val="16"/>
                <w:color w:val="auto"/>
                <w:w w:val="90"/>
              </w:rPr>
              <w:t>Net issuance of restricted stock awards and stock for employee</w:t>
            </w:r>
          </w:p>
        </w:tc>
        <w:tc>
          <w:tcPr>
            <w:tcW w:w="11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173</w:t>
            </w:r>
          </w:p>
        </w:tc>
        <w:tc>
          <w:tcPr>
            <w:tcW w:w="160" w:type="dxa"/>
            <w:vAlign w:val="bottom"/>
            <w:shd w:val="clear" w:color="auto" w:fill="CCEEFF"/>
          </w:tcPr>
          <w:p>
            <w:pPr>
              <w:spacing w:after="0"/>
              <w:rPr>
                <w:sz w:val="12"/>
                <w:szCs w:val="12"/>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2"/>
                <w:szCs w:val="12"/>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576</w:t>
            </w:r>
          </w:p>
        </w:tc>
        <w:tc>
          <w:tcPr>
            <w:tcW w:w="180" w:type="dxa"/>
            <w:vAlign w:val="bottom"/>
            <w:shd w:val="clear" w:color="auto" w:fill="CCEEFF"/>
          </w:tcPr>
          <w:p>
            <w:pPr>
              <w:spacing w:after="0"/>
              <w:rPr>
                <w:sz w:val="12"/>
                <w:szCs w:val="12"/>
                <w:color w:val="auto"/>
              </w:rPr>
            </w:pPr>
          </w:p>
        </w:tc>
        <w:tc>
          <w:tcPr>
            <w:tcW w:w="13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2"/>
                <w:szCs w:val="12"/>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2"/>
                <w:szCs w:val="12"/>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576</w:t>
            </w:r>
          </w:p>
        </w:tc>
        <w:tc>
          <w:tcPr>
            <w:tcW w:w="0" w:type="dxa"/>
            <w:vAlign w:val="bottom"/>
          </w:tcPr>
          <w:p>
            <w:pPr>
              <w:spacing w:after="0"/>
              <w:rPr>
                <w:sz w:val="1"/>
                <w:szCs w:val="1"/>
                <w:color w:val="auto"/>
              </w:rPr>
            </w:pPr>
          </w:p>
        </w:tc>
      </w:tr>
      <w:tr>
        <w:trPr>
          <w:trHeight w:val="206"/>
        </w:trPr>
        <w:tc>
          <w:tcPr>
            <w:tcW w:w="4280" w:type="dxa"/>
            <w:vAlign w:val="bottom"/>
            <w:shd w:val="clear" w:color="auto" w:fill="CCEEFF"/>
          </w:tcPr>
          <w:p>
            <w:pPr>
              <w:ind w:left="220"/>
              <w:spacing w:after="0"/>
              <w:rPr>
                <w:sz w:val="20"/>
                <w:szCs w:val="20"/>
                <w:color w:val="auto"/>
              </w:rPr>
            </w:pPr>
            <w:r>
              <w:rPr>
                <w:rFonts w:ascii="Arial" w:cs="Arial" w:eastAsia="Arial" w:hAnsi="Arial"/>
                <w:sz w:val="16"/>
                <w:szCs w:val="16"/>
                <w:color w:val="auto"/>
                <w:w w:val="96"/>
              </w:rPr>
              <w:t>stock options and recognition of stock-based compensation</w:t>
            </w:r>
          </w:p>
        </w:tc>
        <w:tc>
          <w:tcPr>
            <w:tcW w:w="1100" w:type="dxa"/>
            <w:vAlign w:val="bottom"/>
            <w:vMerge w:val="continue"/>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0" w:type="dxa"/>
            <w:vAlign w:val="bottom"/>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80" w:type="dxa"/>
            <w:vAlign w:val="bottom"/>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00" w:type="dxa"/>
            <w:vAlign w:val="bottom"/>
            <w:vMerge w:val="continue"/>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0" w:type="dxa"/>
            <w:vAlign w:val="bottom"/>
            <w:vMerge w:val="continue"/>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2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4280" w:type="dxa"/>
            <w:vAlign w:val="bottom"/>
          </w:tcPr>
          <w:p>
            <w:pPr>
              <w:ind w:left="220"/>
              <w:spacing w:after="0"/>
              <w:rPr>
                <w:sz w:val="20"/>
                <w:szCs w:val="20"/>
                <w:color w:val="auto"/>
              </w:rPr>
            </w:pPr>
            <w:r>
              <w:rPr>
                <w:rFonts w:ascii="Arial" w:cs="Arial" w:eastAsia="Arial" w:hAnsi="Arial"/>
                <w:sz w:val="16"/>
                <w:szCs w:val="16"/>
                <w:color w:val="auto"/>
              </w:rPr>
              <w:t>Contribution of services</w:t>
            </w: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47</w:t>
            </w:r>
          </w:p>
        </w:tc>
        <w:tc>
          <w:tcPr>
            <w:tcW w:w="18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47</w:t>
            </w:r>
          </w:p>
        </w:tc>
        <w:tc>
          <w:tcPr>
            <w:tcW w:w="0" w:type="dxa"/>
            <w:vAlign w:val="bottom"/>
          </w:tcPr>
          <w:p>
            <w:pPr>
              <w:spacing w:after="0"/>
              <w:rPr>
                <w:sz w:val="1"/>
                <w:szCs w:val="1"/>
                <w:color w:val="auto"/>
              </w:rPr>
            </w:pPr>
          </w:p>
        </w:tc>
      </w:tr>
      <w:tr>
        <w:trPr>
          <w:trHeight w:val="163"/>
        </w:trPr>
        <w:tc>
          <w:tcPr>
            <w:tcW w:w="4280" w:type="dxa"/>
            <w:vAlign w:val="bottom"/>
            <w:shd w:val="clear" w:color="auto" w:fill="CCEEFF"/>
          </w:tcPr>
          <w:p>
            <w:pPr>
              <w:ind w:left="220"/>
              <w:spacing w:after="0" w:line="163" w:lineRule="exact"/>
              <w:rPr>
                <w:sz w:val="20"/>
                <w:szCs w:val="20"/>
                <w:color w:val="auto"/>
              </w:rPr>
            </w:pPr>
            <w:r>
              <w:rPr>
                <w:rFonts w:ascii="Arial" w:cs="Arial" w:eastAsia="Arial" w:hAnsi="Arial"/>
                <w:sz w:val="16"/>
                <w:szCs w:val="16"/>
                <w:color w:val="auto"/>
                <w:w w:val="93"/>
              </w:rPr>
              <w:t>Net issuance of stock through employee stock purchase plan</w:t>
            </w:r>
          </w:p>
        </w:tc>
        <w:tc>
          <w:tcPr>
            <w:tcW w:w="11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1,187</w:t>
            </w:r>
          </w:p>
        </w:tc>
        <w:tc>
          <w:tcPr>
            <w:tcW w:w="160" w:type="dxa"/>
            <w:vAlign w:val="bottom"/>
            <w:shd w:val="clear" w:color="auto" w:fill="CCEEFF"/>
          </w:tcPr>
          <w:p>
            <w:pPr>
              <w:spacing w:after="0"/>
              <w:rPr>
                <w:sz w:val="14"/>
                <w:szCs w:val="14"/>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4"/>
                <w:szCs w:val="14"/>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406</w:t>
            </w:r>
          </w:p>
        </w:tc>
        <w:tc>
          <w:tcPr>
            <w:tcW w:w="180" w:type="dxa"/>
            <w:vAlign w:val="bottom"/>
            <w:shd w:val="clear" w:color="auto" w:fill="CCEEFF"/>
          </w:tcPr>
          <w:p>
            <w:pPr>
              <w:spacing w:after="0"/>
              <w:rPr>
                <w:sz w:val="14"/>
                <w:szCs w:val="14"/>
                <w:color w:val="auto"/>
              </w:rPr>
            </w:pPr>
          </w:p>
        </w:tc>
        <w:tc>
          <w:tcPr>
            <w:tcW w:w="13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4"/>
                <w:szCs w:val="14"/>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4"/>
                <w:szCs w:val="14"/>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406</w:t>
            </w:r>
          </w:p>
        </w:tc>
        <w:tc>
          <w:tcPr>
            <w:tcW w:w="0" w:type="dxa"/>
            <w:vAlign w:val="bottom"/>
          </w:tcPr>
          <w:p>
            <w:pPr>
              <w:spacing w:after="0"/>
              <w:rPr>
                <w:sz w:val="1"/>
                <w:szCs w:val="1"/>
                <w:color w:val="auto"/>
              </w:rPr>
            </w:pPr>
          </w:p>
        </w:tc>
      </w:tr>
      <w:tr>
        <w:trPr>
          <w:trHeight w:val="206"/>
        </w:trPr>
        <w:tc>
          <w:tcPr>
            <w:tcW w:w="42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and recognition of stock-based compensation</w:t>
            </w:r>
          </w:p>
        </w:tc>
        <w:tc>
          <w:tcPr>
            <w:tcW w:w="1100" w:type="dxa"/>
            <w:vAlign w:val="bottom"/>
            <w:vMerge w:val="continue"/>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0" w:type="dxa"/>
            <w:vAlign w:val="bottom"/>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80" w:type="dxa"/>
            <w:vAlign w:val="bottom"/>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00" w:type="dxa"/>
            <w:vAlign w:val="bottom"/>
            <w:vMerge w:val="continue"/>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0" w:type="dxa"/>
            <w:vAlign w:val="bottom"/>
            <w:vMerge w:val="continue"/>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2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4280" w:type="dxa"/>
            <w:vAlign w:val="bottom"/>
          </w:tcPr>
          <w:p>
            <w:pPr>
              <w:ind w:left="220"/>
              <w:spacing w:after="0"/>
              <w:rPr>
                <w:sz w:val="20"/>
                <w:szCs w:val="20"/>
                <w:color w:val="auto"/>
              </w:rPr>
            </w:pPr>
            <w:r>
              <w:rPr>
                <w:rFonts w:ascii="Arial" w:cs="Arial" w:eastAsia="Arial" w:hAnsi="Arial"/>
                <w:sz w:val="16"/>
                <w:szCs w:val="16"/>
                <w:color w:val="auto"/>
              </w:rPr>
              <w:t>Other comprehensive loss</w:t>
            </w: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(3,158)</w:t>
            </w:r>
          </w:p>
        </w:tc>
        <w:tc>
          <w:tcPr>
            <w:tcW w:w="2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(3,158)</w:t>
            </w:r>
          </w:p>
        </w:tc>
        <w:tc>
          <w:tcPr>
            <w:tcW w:w="0" w:type="dxa"/>
            <w:vAlign w:val="bottom"/>
          </w:tcPr>
          <w:p>
            <w:pPr>
              <w:spacing w:after="0"/>
              <w:rPr>
                <w:sz w:val="1"/>
                <w:szCs w:val="1"/>
                <w:color w:val="auto"/>
              </w:rPr>
            </w:pPr>
          </w:p>
        </w:tc>
      </w:tr>
      <w:tr>
        <w:trPr>
          <w:trHeight w:val="212"/>
        </w:trPr>
        <w:tc>
          <w:tcPr>
            <w:tcW w:w="42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Net loss</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(21,449)</w:t>
            </w:r>
          </w:p>
        </w:tc>
        <w:tc>
          <w:tcPr>
            <w:tcW w:w="24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(21,449)</w:t>
            </w:r>
          </w:p>
        </w:tc>
        <w:tc>
          <w:tcPr>
            <w:tcW w:w="0" w:type="dxa"/>
            <w:vAlign w:val="bottom"/>
          </w:tcPr>
          <w:p>
            <w:pPr>
              <w:spacing w:after="0"/>
              <w:rPr>
                <w:sz w:val="1"/>
                <w:szCs w:val="1"/>
                <w:color w:val="auto"/>
              </w:rPr>
            </w:pPr>
          </w:p>
        </w:tc>
      </w:tr>
      <w:tr>
        <w:trPr>
          <w:trHeight w:val="199"/>
        </w:trPr>
        <w:tc>
          <w:tcPr>
            <w:tcW w:w="428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Balances – June 30, 2021</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1,793,063</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179</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2,143,319</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(2,860)</w:t>
            </w:r>
          </w:p>
        </w:tc>
        <w:tc>
          <w:tcPr>
            <w:tcW w:w="200" w:type="dxa"/>
            <w:vAlign w:val="bottom"/>
            <w:tcBorders>
              <w:bottom w:val="single" w:sz="8" w:color="auto"/>
            </w:tcBorders>
          </w:tcPr>
          <w:p>
            <w:pPr>
              <w:jc w:val="right"/>
              <w:ind w:right="22"/>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(1,728,506)</w:t>
            </w:r>
          </w:p>
        </w:tc>
        <w:tc>
          <w:tcPr>
            <w:tcW w:w="240" w:type="dxa"/>
            <w:vAlign w:val="bottom"/>
            <w:tcBorders>
              <w:bottom w:val="single" w:sz="8" w:color="auto"/>
            </w:tcBorders>
          </w:tcPr>
          <w:p>
            <w:pPr>
              <w:jc w:val="right"/>
              <w:ind w:right="62"/>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412,132</w:t>
            </w:r>
          </w:p>
        </w:tc>
        <w:tc>
          <w:tcPr>
            <w:tcW w:w="0" w:type="dxa"/>
            <w:vAlign w:val="bottom"/>
          </w:tcPr>
          <w:p>
            <w:pPr>
              <w:spacing w:after="0"/>
              <w:rPr>
                <w:sz w:val="1"/>
                <w:szCs w:val="1"/>
                <w:color w:val="auto"/>
              </w:rPr>
            </w:pPr>
          </w:p>
        </w:tc>
      </w:tr>
      <w:tr>
        <w:trPr>
          <w:trHeight w:val="143"/>
        </w:trPr>
        <w:tc>
          <w:tcPr>
            <w:tcW w:w="4280" w:type="dxa"/>
            <w:vAlign w:val="bottom"/>
            <w:shd w:val="clear" w:color="auto" w:fill="CCEEFF"/>
          </w:tcPr>
          <w:p>
            <w:pPr>
              <w:ind w:left="220"/>
              <w:spacing w:after="0" w:line="143" w:lineRule="exact"/>
              <w:rPr>
                <w:sz w:val="20"/>
                <w:szCs w:val="20"/>
                <w:color w:val="auto"/>
              </w:rPr>
            </w:pPr>
            <w:r>
              <w:rPr>
                <w:rFonts w:ascii="Arial" w:cs="Arial" w:eastAsia="Arial" w:hAnsi="Arial"/>
                <w:sz w:val="16"/>
                <w:szCs w:val="16"/>
                <w:color w:val="auto"/>
                <w:w w:val="90"/>
              </w:rPr>
              <w:t>Net issuance of restricted stock awards and stock for employee</w:t>
            </w:r>
          </w:p>
        </w:tc>
        <w:tc>
          <w:tcPr>
            <w:tcW w:w="11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244</w:t>
            </w:r>
          </w:p>
        </w:tc>
        <w:tc>
          <w:tcPr>
            <w:tcW w:w="160" w:type="dxa"/>
            <w:vAlign w:val="bottom"/>
            <w:shd w:val="clear" w:color="auto" w:fill="CCEEFF"/>
          </w:tcPr>
          <w:p>
            <w:pPr>
              <w:spacing w:after="0"/>
              <w:rPr>
                <w:sz w:val="12"/>
                <w:szCs w:val="12"/>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2"/>
                <w:szCs w:val="12"/>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544</w:t>
            </w:r>
          </w:p>
        </w:tc>
        <w:tc>
          <w:tcPr>
            <w:tcW w:w="180" w:type="dxa"/>
            <w:vAlign w:val="bottom"/>
            <w:shd w:val="clear" w:color="auto" w:fill="CCEEFF"/>
          </w:tcPr>
          <w:p>
            <w:pPr>
              <w:spacing w:after="0"/>
              <w:rPr>
                <w:sz w:val="12"/>
                <w:szCs w:val="12"/>
                <w:color w:val="auto"/>
              </w:rPr>
            </w:pPr>
          </w:p>
        </w:tc>
        <w:tc>
          <w:tcPr>
            <w:tcW w:w="13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2"/>
                <w:szCs w:val="12"/>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2"/>
                <w:szCs w:val="12"/>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544</w:t>
            </w:r>
          </w:p>
        </w:tc>
        <w:tc>
          <w:tcPr>
            <w:tcW w:w="0" w:type="dxa"/>
            <w:vAlign w:val="bottom"/>
          </w:tcPr>
          <w:p>
            <w:pPr>
              <w:spacing w:after="0"/>
              <w:rPr>
                <w:sz w:val="1"/>
                <w:szCs w:val="1"/>
                <w:color w:val="auto"/>
              </w:rPr>
            </w:pPr>
          </w:p>
        </w:tc>
      </w:tr>
      <w:tr>
        <w:trPr>
          <w:trHeight w:val="206"/>
        </w:trPr>
        <w:tc>
          <w:tcPr>
            <w:tcW w:w="4280" w:type="dxa"/>
            <w:vAlign w:val="bottom"/>
            <w:shd w:val="clear" w:color="auto" w:fill="CCEEFF"/>
          </w:tcPr>
          <w:p>
            <w:pPr>
              <w:ind w:left="220"/>
              <w:spacing w:after="0"/>
              <w:rPr>
                <w:sz w:val="20"/>
                <w:szCs w:val="20"/>
                <w:color w:val="auto"/>
              </w:rPr>
            </w:pPr>
            <w:r>
              <w:rPr>
                <w:rFonts w:ascii="Arial" w:cs="Arial" w:eastAsia="Arial" w:hAnsi="Arial"/>
                <w:sz w:val="16"/>
                <w:szCs w:val="16"/>
                <w:color w:val="auto"/>
                <w:w w:val="96"/>
              </w:rPr>
              <w:t>stock options and recognition of stock-based compensation</w:t>
            </w:r>
          </w:p>
        </w:tc>
        <w:tc>
          <w:tcPr>
            <w:tcW w:w="1100" w:type="dxa"/>
            <w:vAlign w:val="bottom"/>
            <w:vMerge w:val="continue"/>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0" w:type="dxa"/>
            <w:vAlign w:val="bottom"/>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80" w:type="dxa"/>
            <w:vAlign w:val="bottom"/>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00" w:type="dxa"/>
            <w:vAlign w:val="bottom"/>
            <w:vMerge w:val="continue"/>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0" w:type="dxa"/>
            <w:vAlign w:val="bottom"/>
            <w:vMerge w:val="continue"/>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2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4280" w:type="dxa"/>
            <w:vAlign w:val="bottom"/>
          </w:tcPr>
          <w:p>
            <w:pPr>
              <w:ind w:left="220"/>
              <w:spacing w:after="0"/>
              <w:rPr>
                <w:sz w:val="20"/>
                <w:szCs w:val="20"/>
                <w:color w:val="auto"/>
              </w:rPr>
            </w:pPr>
            <w:r>
              <w:rPr>
                <w:rFonts w:ascii="Arial" w:cs="Arial" w:eastAsia="Arial" w:hAnsi="Arial"/>
                <w:sz w:val="16"/>
                <w:szCs w:val="16"/>
                <w:color w:val="auto"/>
              </w:rPr>
              <w:t>Contribution of services</w:t>
            </w: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47</w:t>
            </w:r>
          </w:p>
        </w:tc>
        <w:tc>
          <w:tcPr>
            <w:tcW w:w="1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47</w:t>
            </w:r>
          </w:p>
        </w:tc>
        <w:tc>
          <w:tcPr>
            <w:tcW w:w="0" w:type="dxa"/>
            <w:vAlign w:val="bottom"/>
          </w:tcPr>
          <w:p>
            <w:pPr>
              <w:spacing w:after="0"/>
              <w:rPr>
                <w:sz w:val="1"/>
                <w:szCs w:val="1"/>
                <w:color w:val="auto"/>
              </w:rPr>
            </w:pPr>
          </w:p>
        </w:tc>
      </w:tr>
      <w:tr>
        <w:trPr>
          <w:trHeight w:val="160"/>
        </w:trPr>
        <w:tc>
          <w:tcPr>
            <w:tcW w:w="4280" w:type="dxa"/>
            <w:vAlign w:val="bottom"/>
            <w:shd w:val="clear" w:color="auto" w:fill="CCEEFF"/>
          </w:tcPr>
          <w:p>
            <w:pPr>
              <w:ind w:left="220"/>
              <w:spacing w:after="0" w:line="160" w:lineRule="exact"/>
              <w:rPr>
                <w:sz w:val="20"/>
                <w:szCs w:val="20"/>
                <w:color w:val="auto"/>
              </w:rPr>
            </w:pPr>
            <w:r>
              <w:rPr>
                <w:rFonts w:ascii="Arial" w:cs="Arial" w:eastAsia="Arial" w:hAnsi="Arial"/>
                <w:sz w:val="16"/>
                <w:szCs w:val="16"/>
                <w:color w:val="auto"/>
                <w:w w:val="93"/>
              </w:rPr>
              <w:t>Recognition of stock-based compensation of employee stock</w:t>
            </w:r>
          </w:p>
        </w:tc>
        <w:tc>
          <w:tcPr>
            <w:tcW w:w="11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3"/>
                <w:szCs w:val="13"/>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3"/>
                <w:szCs w:val="13"/>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102</w:t>
            </w:r>
          </w:p>
        </w:tc>
        <w:tc>
          <w:tcPr>
            <w:tcW w:w="180" w:type="dxa"/>
            <w:vAlign w:val="bottom"/>
            <w:shd w:val="clear" w:color="auto" w:fill="CCEEFF"/>
          </w:tcPr>
          <w:p>
            <w:pPr>
              <w:spacing w:after="0"/>
              <w:rPr>
                <w:sz w:val="13"/>
                <w:szCs w:val="13"/>
                <w:color w:val="auto"/>
              </w:rPr>
            </w:pPr>
          </w:p>
        </w:tc>
        <w:tc>
          <w:tcPr>
            <w:tcW w:w="13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3"/>
                <w:szCs w:val="13"/>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3"/>
                <w:szCs w:val="13"/>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102</w:t>
            </w:r>
          </w:p>
        </w:tc>
        <w:tc>
          <w:tcPr>
            <w:tcW w:w="0" w:type="dxa"/>
            <w:vAlign w:val="bottom"/>
          </w:tcPr>
          <w:p>
            <w:pPr>
              <w:spacing w:after="0"/>
              <w:rPr>
                <w:sz w:val="1"/>
                <w:szCs w:val="1"/>
                <w:color w:val="auto"/>
              </w:rPr>
            </w:pPr>
          </w:p>
        </w:tc>
      </w:tr>
      <w:tr>
        <w:trPr>
          <w:trHeight w:val="206"/>
        </w:trPr>
        <w:tc>
          <w:tcPr>
            <w:tcW w:w="42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purchase plan</w:t>
            </w:r>
          </w:p>
        </w:tc>
        <w:tc>
          <w:tcPr>
            <w:tcW w:w="1100" w:type="dxa"/>
            <w:vAlign w:val="bottom"/>
            <w:vMerge w:val="continue"/>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0" w:type="dxa"/>
            <w:vAlign w:val="bottom"/>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80" w:type="dxa"/>
            <w:vAlign w:val="bottom"/>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00" w:type="dxa"/>
            <w:vAlign w:val="bottom"/>
            <w:vMerge w:val="continue"/>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0" w:type="dxa"/>
            <w:vAlign w:val="bottom"/>
            <w:vMerge w:val="continue"/>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2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4280" w:type="dxa"/>
            <w:vAlign w:val="bottom"/>
          </w:tcPr>
          <w:p>
            <w:pPr>
              <w:ind w:left="220"/>
              <w:spacing w:after="0"/>
              <w:rPr>
                <w:sz w:val="20"/>
                <w:szCs w:val="20"/>
                <w:color w:val="auto"/>
              </w:rPr>
            </w:pPr>
            <w:r>
              <w:rPr>
                <w:rFonts w:ascii="Arial" w:cs="Arial" w:eastAsia="Arial" w:hAnsi="Arial"/>
                <w:sz w:val="16"/>
                <w:szCs w:val="16"/>
                <w:color w:val="auto"/>
              </w:rPr>
              <w:t>Other comprehensive income</w:t>
            </w: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3,185</w:t>
            </w:r>
          </w:p>
        </w:tc>
        <w:tc>
          <w:tcPr>
            <w:tcW w:w="2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3,185</w:t>
            </w:r>
          </w:p>
        </w:tc>
        <w:tc>
          <w:tcPr>
            <w:tcW w:w="0" w:type="dxa"/>
            <w:vAlign w:val="bottom"/>
          </w:tcPr>
          <w:p>
            <w:pPr>
              <w:spacing w:after="0"/>
              <w:rPr>
                <w:sz w:val="1"/>
                <w:szCs w:val="1"/>
                <w:color w:val="auto"/>
              </w:rPr>
            </w:pPr>
          </w:p>
        </w:tc>
      </w:tr>
      <w:tr>
        <w:trPr>
          <w:trHeight w:val="209"/>
        </w:trPr>
        <w:tc>
          <w:tcPr>
            <w:tcW w:w="42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Net loss</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(30,885)</w:t>
            </w:r>
          </w:p>
        </w:tc>
        <w:tc>
          <w:tcPr>
            <w:tcW w:w="24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(30,885)</w:t>
            </w:r>
          </w:p>
        </w:tc>
        <w:tc>
          <w:tcPr>
            <w:tcW w:w="0" w:type="dxa"/>
            <w:vAlign w:val="bottom"/>
          </w:tcPr>
          <w:p>
            <w:pPr>
              <w:spacing w:after="0"/>
              <w:rPr>
                <w:sz w:val="1"/>
                <w:szCs w:val="1"/>
                <w:color w:val="auto"/>
              </w:rPr>
            </w:pPr>
          </w:p>
        </w:tc>
      </w:tr>
      <w:tr>
        <w:trPr>
          <w:trHeight w:val="199"/>
        </w:trPr>
        <w:tc>
          <w:tcPr>
            <w:tcW w:w="4280" w:type="dxa"/>
            <w:vAlign w:val="bottom"/>
          </w:tcPr>
          <w:p>
            <w:pPr>
              <w:ind w:left="20"/>
              <w:spacing w:after="0"/>
              <w:rPr>
                <w:sz w:val="20"/>
                <w:szCs w:val="20"/>
                <w:color w:val="auto"/>
              </w:rPr>
            </w:pPr>
            <w:r>
              <w:rPr>
                <w:rFonts w:ascii="Arial" w:cs="Arial" w:eastAsia="Arial" w:hAnsi="Arial"/>
                <w:sz w:val="16"/>
                <w:szCs w:val="16"/>
                <w:color w:val="auto"/>
              </w:rPr>
              <w:t>Balances – September 30, 2021</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1,793,307</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179</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2,144,012</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325</w:t>
            </w:r>
          </w:p>
        </w:tc>
        <w:tc>
          <w:tcPr>
            <w:tcW w:w="200" w:type="dxa"/>
            <w:vAlign w:val="bottom"/>
            <w:tcBorders>
              <w:bottom w:val="single" w:sz="8" w:color="auto"/>
            </w:tcBorders>
          </w:tcPr>
          <w:p>
            <w:pPr>
              <w:jc w:val="right"/>
              <w:ind w:right="22"/>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(1,759,391)</w:t>
            </w:r>
          </w:p>
        </w:tc>
        <w:tc>
          <w:tcPr>
            <w:tcW w:w="240" w:type="dxa"/>
            <w:vAlign w:val="bottom"/>
            <w:tcBorders>
              <w:bottom w:val="single" w:sz="8" w:color="auto"/>
            </w:tcBorders>
          </w:tcPr>
          <w:p>
            <w:pPr>
              <w:jc w:val="right"/>
              <w:ind w:right="62"/>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385,125</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24" w:right="33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184"/>
        </w:trPr>
        <w:tc>
          <w:tcPr>
            <w:tcW w:w="4360" w:type="dxa"/>
            <w:vAlign w:val="bottom"/>
          </w:tcPr>
          <w:p>
            <w:pPr>
              <w:spacing w:after="0"/>
              <w:rPr>
                <w:sz w:val="16"/>
                <w:szCs w:val="16"/>
                <w:color w:val="auto"/>
              </w:rPr>
            </w:pPr>
          </w:p>
        </w:tc>
        <w:tc>
          <w:tcPr>
            <w:tcW w:w="1100" w:type="dxa"/>
            <w:vAlign w:val="bottom"/>
            <w:vMerge w:val="restart"/>
          </w:tcPr>
          <w:p>
            <w:pPr>
              <w:jc w:val="right"/>
              <w:ind w:right="142"/>
              <w:spacing w:after="0"/>
              <w:rPr>
                <w:sz w:val="20"/>
                <w:szCs w:val="20"/>
                <w:color w:val="auto"/>
              </w:rPr>
            </w:pPr>
            <w:r>
              <w:rPr>
                <w:rFonts w:ascii="Arial" w:cs="Arial" w:eastAsia="Arial" w:hAnsi="Arial"/>
                <w:sz w:val="16"/>
                <w:szCs w:val="16"/>
                <w:b w:val="1"/>
                <w:bCs w:val="1"/>
                <w:color w:val="auto"/>
              </w:rPr>
              <w:t>Common</w:t>
            </w:r>
          </w:p>
        </w:tc>
        <w:tc>
          <w:tcPr>
            <w:tcW w:w="160" w:type="dxa"/>
            <w:vAlign w:val="bottom"/>
          </w:tcPr>
          <w:p>
            <w:pPr>
              <w:spacing w:after="0"/>
              <w:rPr>
                <w:sz w:val="16"/>
                <w:szCs w:val="16"/>
                <w:color w:val="auto"/>
              </w:rPr>
            </w:pPr>
          </w:p>
        </w:tc>
        <w:tc>
          <w:tcPr>
            <w:tcW w:w="820" w:type="dxa"/>
            <w:vAlign w:val="bottom"/>
          </w:tcPr>
          <w:p>
            <w:pPr>
              <w:jc w:val="center"/>
              <w:ind w:right="42"/>
              <w:spacing w:after="0"/>
              <w:rPr>
                <w:sz w:val="20"/>
                <w:szCs w:val="20"/>
                <w:color w:val="auto"/>
              </w:rPr>
            </w:pPr>
            <w:r>
              <w:rPr>
                <w:rFonts w:ascii="Arial" w:cs="Arial" w:eastAsia="Arial" w:hAnsi="Arial"/>
                <w:sz w:val="16"/>
                <w:szCs w:val="16"/>
                <w:b w:val="1"/>
                <w:bCs w:val="1"/>
                <w:color w:val="auto"/>
                <w:w w:val="89"/>
              </w:rPr>
              <w:t>Common</w:t>
            </w:r>
          </w:p>
        </w:tc>
        <w:tc>
          <w:tcPr>
            <w:tcW w:w="180" w:type="dxa"/>
            <w:vAlign w:val="bottom"/>
          </w:tcPr>
          <w:p>
            <w:pPr>
              <w:spacing w:after="0"/>
              <w:rPr>
                <w:sz w:val="16"/>
                <w:szCs w:val="16"/>
                <w:color w:val="auto"/>
              </w:rPr>
            </w:pPr>
          </w:p>
        </w:tc>
        <w:tc>
          <w:tcPr>
            <w:tcW w:w="980" w:type="dxa"/>
            <w:vAlign w:val="bottom"/>
          </w:tcPr>
          <w:p>
            <w:pPr>
              <w:jc w:val="right"/>
              <w:ind w:right="122"/>
              <w:spacing w:after="0"/>
              <w:rPr>
                <w:sz w:val="20"/>
                <w:szCs w:val="20"/>
                <w:color w:val="auto"/>
              </w:rPr>
            </w:pPr>
            <w:r>
              <w:rPr>
                <w:rFonts w:ascii="Arial" w:cs="Arial" w:eastAsia="Arial" w:hAnsi="Arial"/>
                <w:sz w:val="16"/>
                <w:szCs w:val="16"/>
                <w:b w:val="1"/>
                <w:bCs w:val="1"/>
                <w:color w:val="auto"/>
                <w:w w:val="97"/>
              </w:rPr>
              <w:t>Additional</w:t>
            </w:r>
          </w:p>
        </w:tc>
        <w:tc>
          <w:tcPr>
            <w:tcW w:w="1460" w:type="dxa"/>
            <w:vAlign w:val="bottom"/>
            <w:gridSpan w:val="2"/>
            <w:vMerge w:val="restart"/>
          </w:tcPr>
          <w:p>
            <w:pPr>
              <w:jc w:val="right"/>
              <w:spacing w:after="0"/>
              <w:rPr>
                <w:sz w:val="20"/>
                <w:szCs w:val="20"/>
                <w:color w:val="auto"/>
              </w:rPr>
            </w:pPr>
            <w:r>
              <w:rPr>
                <w:rFonts w:ascii="Arial" w:cs="Arial" w:eastAsia="Arial" w:hAnsi="Arial"/>
                <w:sz w:val="16"/>
                <w:szCs w:val="16"/>
                <w:b w:val="1"/>
                <w:bCs w:val="1"/>
                <w:color w:val="auto"/>
                <w:w w:val="94"/>
              </w:rPr>
              <w:t>Accumulated Other</w:t>
            </w:r>
          </w:p>
        </w:tc>
        <w:tc>
          <w:tcPr>
            <w:tcW w:w="220" w:type="dxa"/>
            <w:vAlign w:val="bottom"/>
          </w:tcPr>
          <w:p>
            <w:pPr>
              <w:spacing w:after="0"/>
              <w:rPr>
                <w:sz w:val="16"/>
                <w:szCs w:val="16"/>
                <w:color w:val="auto"/>
              </w:rPr>
            </w:pPr>
          </w:p>
        </w:tc>
        <w:tc>
          <w:tcPr>
            <w:tcW w:w="1000" w:type="dxa"/>
            <w:vAlign w:val="bottom"/>
            <w:vMerge w:val="restart"/>
          </w:tcPr>
          <w:p>
            <w:pPr>
              <w:jc w:val="right"/>
              <w:ind w:right="222"/>
              <w:spacing w:after="0"/>
              <w:rPr>
                <w:sz w:val="20"/>
                <w:szCs w:val="20"/>
                <w:color w:val="auto"/>
              </w:rPr>
            </w:pPr>
            <w:r>
              <w:rPr>
                <w:rFonts w:ascii="Arial" w:cs="Arial" w:eastAsia="Arial" w:hAnsi="Arial"/>
                <w:sz w:val="16"/>
                <w:szCs w:val="16"/>
                <w:b w:val="1"/>
                <w:bCs w:val="1"/>
                <w:color w:val="auto"/>
              </w:rPr>
              <w:t>Retained</w:t>
            </w:r>
          </w:p>
        </w:tc>
        <w:tc>
          <w:tcPr>
            <w:tcW w:w="2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7"/>
        </w:trPr>
        <w:tc>
          <w:tcPr>
            <w:tcW w:w="4360" w:type="dxa"/>
            <w:vAlign w:val="bottom"/>
          </w:tcPr>
          <w:p>
            <w:pPr>
              <w:spacing w:after="0"/>
              <w:rPr>
                <w:sz w:val="13"/>
                <w:szCs w:val="13"/>
                <w:color w:val="auto"/>
              </w:rPr>
            </w:pPr>
          </w:p>
        </w:tc>
        <w:tc>
          <w:tcPr>
            <w:tcW w:w="110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820" w:type="dxa"/>
            <w:vAlign w:val="bottom"/>
          </w:tcPr>
          <w:p>
            <w:pPr>
              <w:jc w:val="center"/>
              <w:ind w:right="42"/>
              <w:spacing w:after="0" w:line="157" w:lineRule="exact"/>
              <w:rPr>
                <w:sz w:val="20"/>
                <w:szCs w:val="20"/>
                <w:color w:val="auto"/>
              </w:rPr>
            </w:pPr>
            <w:r>
              <w:rPr>
                <w:rFonts w:ascii="Arial" w:cs="Arial" w:eastAsia="Arial" w:hAnsi="Arial"/>
                <w:sz w:val="16"/>
                <w:szCs w:val="16"/>
                <w:b w:val="1"/>
                <w:bCs w:val="1"/>
                <w:color w:val="auto"/>
                <w:w w:val="87"/>
              </w:rPr>
              <w:t>Stock</w:t>
            </w:r>
          </w:p>
        </w:tc>
        <w:tc>
          <w:tcPr>
            <w:tcW w:w="180" w:type="dxa"/>
            <w:vAlign w:val="bottom"/>
          </w:tcPr>
          <w:p>
            <w:pPr>
              <w:spacing w:after="0"/>
              <w:rPr>
                <w:sz w:val="13"/>
                <w:szCs w:val="13"/>
                <w:color w:val="auto"/>
              </w:rPr>
            </w:pPr>
          </w:p>
        </w:tc>
        <w:tc>
          <w:tcPr>
            <w:tcW w:w="980" w:type="dxa"/>
            <w:vAlign w:val="bottom"/>
          </w:tcPr>
          <w:p>
            <w:pPr>
              <w:jc w:val="right"/>
              <w:ind w:right="222"/>
              <w:spacing w:after="0" w:line="157" w:lineRule="exact"/>
              <w:rPr>
                <w:sz w:val="20"/>
                <w:szCs w:val="20"/>
                <w:color w:val="auto"/>
              </w:rPr>
            </w:pPr>
            <w:r>
              <w:rPr>
                <w:rFonts w:ascii="Arial" w:cs="Arial" w:eastAsia="Arial" w:hAnsi="Arial"/>
                <w:sz w:val="16"/>
                <w:szCs w:val="16"/>
                <w:b w:val="1"/>
                <w:bCs w:val="1"/>
                <w:color w:val="auto"/>
              </w:rPr>
              <w:t>Paid-In</w:t>
            </w:r>
          </w:p>
        </w:tc>
        <w:tc>
          <w:tcPr>
            <w:tcW w:w="1460" w:type="dxa"/>
            <w:vAlign w:val="bottom"/>
            <w:gridSpan w:val="2"/>
            <w:vMerge w:val="continue"/>
          </w:tcPr>
          <w:p>
            <w:pPr>
              <w:spacing w:after="0"/>
              <w:rPr>
                <w:sz w:val="13"/>
                <w:szCs w:val="13"/>
                <w:color w:val="auto"/>
              </w:rPr>
            </w:pPr>
          </w:p>
        </w:tc>
        <w:tc>
          <w:tcPr>
            <w:tcW w:w="220" w:type="dxa"/>
            <w:vAlign w:val="bottom"/>
          </w:tcPr>
          <w:p>
            <w:pPr>
              <w:spacing w:after="0"/>
              <w:rPr>
                <w:sz w:val="13"/>
                <w:szCs w:val="13"/>
                <w:color w:val="auto"/>
              </w:rPr>
            </w:pPr>
          </w:p>
        </w:tc>
        <w:tc>
          <w:tcPr>
            <w:tcW w:w="1000" w:type="dxa"/>
            <w:vAlign w:val="bottom"/>
            <w:vMerge w:val="continue"/>
          </w:tcPr>
          <w:p>
            <w:pPr>
              <w:spacing w:after="0"/>
              <w:rPr>
                <w:sz w:val="13"/>
                <w:szCs w:val="13"/>
                <w:color w:val="auto"/>
              </w:rPr>
            </w:pPr>
          </w:p>
        </w:tc>
        <w:tc>
          <w:tcPr>
            <w:tcW w:w="200" w:type="dxa"/>
            <w:vAlign w:val="bottom"/>
          </w:tcPr>
          <w:p>
            <w:pPr>
              <w:spacing w:after="0"/>
              <w:rPr>
                <w:sz w:val="13"/>
                <w:szCs w:val="13"/>
                <w:color w:val="auto"/>
              </w:rPr>
            </w:pPr>
          </w:p>
        </w:tc>
        <w:tc>
          <w:tcPr>
            <w:tcW w:w="760" w:type="dxa"/>
            <w:vAlign w:val="bottom"/>
            <w:vMerge w:val="restart"/>
          </w:tcPr>
          <w:p>
            <w:pPr>
              <w:jc w:val="right"/>
              <w:ind w:right="222"/>
              <w:spacing w:after="0"/>
              <w:rPr>
                <w:sz w:val="20"/>
                <w:szCs w:val="20"/>
                <w:color w:val="auto"/>
              </w:rPr>
            </w:pPr>
            <w:r>
              <w:rPr>
                <w:rFonts w:ascii="Arial" w:cs="Arial" w:eastAsia="Arial" w:hAnsi="Arial"/>
                <w:sz w:val="16"/>
                <w:szCs w:val="16"/>
                <w:b w:val="1"/>
                <w:bCs w:val="1"/>
                <w:color w:val="auto"/>
              </w:rPr>
              <w:t>Total</w:t>
            </w:r>
          </w:p>
        </w:tc>
        <w:tc>
          <w:tcPr>
            <w:tcW w:w="0" w:type="dxa"/>
            <w:vAlign w:val="bottom"/>
          </w:tcPr>
          <w:p>
            <w:pPr>
              <w:spacing w:after="0"/>
              <w:rPr>
                <w:sz w:val="1"/>
                <w:szCs w:val="1"/>
                <w:color w:val="auto"/>
              </w:rPr>
            </w:pPr>
          </w:p>
        </w:tc>
      </w:tr>
      <w:tr>
        <w:trPr>
          <w:trHeight w:val="206"/>
        </w:trPr>
        <w:tc>
          <w:tcPr>
            <w:tcW w:w="4360" w:type="dxa"/>
            <w:vAlign w:val="bottom"/>
            <w:tcBorders>
              <w:bottom w:val="single" w:sz="8" w:color="CCEEFF"/>
            </w:tcBorders>
          </w:tcPr>
          <w:p>
            <w:pPr>
              <w:spacing w:after="0"/>
              <w:rPr>
                <w:sz w:val="17"/>
                <w:szCs w:val="17"/>
                <w:color w:val="auto"/>
              </w:rPr>
            </w:pPr>
          </w:p>
        </w:tc>
        <w:tc>
          <w:tcPr>
            <w:tcW w:w="1100" w:type="dxa"/>
            <w:vAlign w:val="bottom"/>
            <w:tcBorders>
              <w:bottom w:val="single" w:sz="8" w:color="auto"/>
            </w:tcBorders>
          </w:tcPr>
          <w:p>
            <w:pPr>
              <w:jc w:val="right"/>
              <w:ind w:right="222"/>
              <w:spacing w:after="0"/>
              <w:rPr>
                <w:sz w:val="20"/>
                <w:szCs w:val="20"/>
                <w:color w:val="auto"/>
              </w:rPr>
            </w:pPr>
            <w:r>
              <w:rPr>
                <w:rFonts w:ascii="Arial" w:cs="Arial" w:eastAsia="Arial" w:hAnsi="Arial"/>
                <w:sz w:val="16"/>
                <w:szCs w:val="16"/>
                <w:b w:val="1"/>
                <w:bCs w:val="1"/>
                <w:color w:val="auto"/>
              </w:rPr>
              <w:t>Shares</w:t>
            </w:r>
          </w:p>
        </w:tc>
        <w:tc>
          <w:tcPr>
            <w:tcW w:w="16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center"/>
              <w:ind w:right="22"/>
              <w:spacing w:after="0"/>
              <w:rPr>
                <w:sz w:val="20"/>
                <w:szCs w:val="20"/>
                <w:color w:val="auto"/>
              </w:rPr>
            </w:pPr>
            <w:r>
              <w:rPr>
                <w:rFonts w:ascii="Arial" w:cs="Arial" w:eastAsia="Arial" w:hAnsi="Arial"/>
                <w:sz w:val="16"/>
                <w:szCs w:val="16"/>
                <w:b w:val="1"/>
                <w:bCs w:val="1"/>
                <w:color w:val="auto"/>
                <w:w w:val="92"/>
              </w:rPr>
              <w:t>Amount</w:t>
            </w:r>
          </w:p>
        </w:tc>
        <w:tc>
          <w:tcPr>
            <w:tcW w:w="1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222"/>
              <w:spacing w:after="0"/>
              <w:rPr>
                <w:sz w:val="20"/>
                <w:szCs w:val="20"/>
                <w:color w:val="auto"/>
              </w:rPr>
            </w:pPr>
            <w:r>
              <w:rPr>
                <w:rFonts w:ascii="Arial" w:cs="Arial" w:eastAsia="Arial" w:hAnsi="Arial"/>
                <w:sz w:val="16"/>
                <w:szCs w:val="16"/>
                <w:b w:val="1"/>
                <w:bCs w:val="1"/>
                <w:color w:val="auto"/>
              </w:rPr>
              <w:t>Capital</w:t>
            </w:r>
          </w:p>
        </w:tc>
        <w:tc>
          <w:tcPr>
            <w:tcW w:w="1460" w:type="dxa"/>
            <w:vAlign w:val="bottom"/>
            <w:tcBorders>
              <w:bottom w:val="single" w:sz="8" w:color="auto"/>
            </w:tcBorders>
            <w:gridSpan w:val="2"/>
          </w:tcPr>
          <w:p>
            <w:pPr>
              <w:ind w:left="60"/>
              <w:spacing w:after="0"/>
              <w:rPr>
                <w:sz w:val="20"/>
                <w:szCs w:val="20"/>
                <w:color w:val="auto"/>
              </w:rPr>
            </w:pPr>
            <w:r>
              <w:rPr>
                <w:rFonts w:ascii="Arial" w:cs="Arial" w:eastAsia="Arial" w:hAnsi="Arial"/>
                <w:sz w:val="16"/>
                <w:szCs w:val="16"/>
                <w:b w:val="1"/>
                <w:bCs w:val="1"/>
                <w:color w:val="auto"/>
                <w:w w:val="85"/>
              </w:rPr>
              <w:t>Comprehensive Loss</w:t>
            </w:r>
          </w:p>
        </w:tc>
        <w:tc>
          <w:tcPr>
            <w:tcW w:w="2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302"/>
              <w:spacing w:after="0"/>
              <w:rPr>
                <w:sz w:val="20"/>
                <w:szCs w:val="20"/>
                <w:color w:val="auto"/>
              </w:rPr>
            </w:pPr>
            <w:r>
              <w:rPr>
                <w:rFonts w:ascii="Arial" w:cs="Arial" w:eastAsia="Arial" w:hAnsi="Arial"/>
                <w:sz w:val="16"/>
                <w:szCs w:val="16"/>
                <w:b w:val="1"/>
                <w:bCs w:val="1"/>
                <w:color w:val="auto"/>
              </w:rPr>
              <w:t>Deficit</w:t>
            </w:r>
          </w:p>
        </w:tc>
        <w:tc>
          <w:tcPr>
            <w:tcW w:w="2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4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Balances – January 1, 2020</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1,464,544</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146</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1,970,047</w:t>
            </w:r>
          </w:p>
        </w:tc>
        <w:tc>
          <w:tcPr>
            <w:tcW w:w="560" w:type="dxa"/>
            <w:vAlign w:val="bottom"/>
            <w:shd w:val="clear" w:color="auto" w:fill="CCEEFF"/>
          </w:tcPr>
          <w:p>
            <w:pPr>
              <w:ind w:left="40"/>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(3,449)</w:t>
            </w:r>
          </w:p>
        </w:tc>
        <w:tc>
          <w:tcPr>
            <w:tcW w:w="22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(1,559,401)</w:t>
            </w: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407,343</w:t>
            </w:r>
          </w:p>
        </w:tc>
        <w:tc>
          <w:tcPr>
            <w:tcW w:w="0" w:type="dxa"/>
            <w:vAlign w:val="bottom"/>
          </w:tcPr>
          <w:p>
            <w:pPr>
              <w:spacing w:after="0"/>
              <w:rPr>
                <w:sz w:val="1"/>
                <w:szCs w:val="1"/>
                <w:color w:val="auto"/>
              </w:rPr>
            </w:pPr>
          </w:p>
        </w:tc>
      </w:tr>
      <w:tr>
        <w:trPr>
          <w:trHeight w:val="160"/>
        </w:trPr>
        <w:tc>
          <w:tcPr>
            <w:tcW w:w="4360" w:type="dxa"/>
            <w:vAlign w:val="bottom"/>
          </w:tcPr>
          <w:p>
            <w:pPr>
              <w:ind w:left="220"/>
              <w:spacing w:after="0" w:line="160" w:lineRule="exact"/>
              <w:rPr>
                <w:sz w:val="20"/>
                <w:szCs w:val="20"/>
                <w:color w:val="auto"/>
              </w:rPr>
            </w:pPr>
            <w:r>
              <w:rPr>
                <w:rFonts w:ascii="Arial" w:cs="Arial" w:eastAsia="Arial" w:hAnsi="Arial"/>
                <w:sz w:val="16"/>
                <w:szCs w:val="16"/>
                <w:color w:val="auto"/>
                <w:w w:val="90"/>
              </w:rPr>
              <w:t>Net issuance of restricted stock awards and recognition of stock-</w:t>
            </w:r>
          </w:p>
        </w:tc>
        <w:tc>
          <w:tcPr>
            <w:tcW w:w="1100" w:type="dxa"/>
            <w:vAlign w:val="bottom"/>
            <w:vMerge w:val="restart"/>
          </w:tcPr>
          <w:p>
            <w:pPr>
              <w:jc w:val="right"/>
              <w:spacing w:after="0"/>
              <w:rPr>
                <w:sz w:val="20"/>
                <w:szCs w:val="20"/>
                <w:color w:val="auto"/>
              </w:rPr>
            </w:pPr>
            <w:r>
              <w:rPr>
                <w:rFonts w:ascii="Arial" w:cs="Arial" w:eastAsia="Arial" w:hAnsi="Arial"/>
                <w:sz w:val="16"/>
                <w:szCs w:val="16"/>
                <w:color w:val="auto"/>
              </w:rPr>
              <w:t>3,020</w:t>
            </w:r>
          </w:p>
        </w:tc>
        <w:tc>
          <w:tcPr>
            <w:tcW w:w="160" w:type="dxa"/>
            <w:vAlign w:val="bottom"/>
          </w:tcPr>
          <w:p>
            <w:pPr>
              <w:spacing w:after="0"/>
              <w:rPr>
                <w:sz w:val="13"/>
                <w:szCs w:val="13"/>
                <w:color w:val="auto"/>
              </w:rPr>
            </w:pPr>
          </w:p>
        </w:tc>
        <w:tc>
          <w:tcPr>
            <w:tcW w:w="820" w:type="dxa"/>
            <w:vAlign w:val="bottom"/>
            <w:vMerge w:val="restart"/>
          </w:tcPr>
          <w:p>
            <w:pPr>
              <w:jc w:val="right"/>
              <w:spacing w:after="0"/>
              <w:rPr>
                <w:sz w:val="20"/>
                <w:szCs w:val="20"/>
                <w:color w:val="auto"/>
              </w:rPr>
            </w:pPr>
            <w:r>
              <w:rPr>
                <w:rFonts w:ascii="Arial" w:cs="Arial" w:eastAsia="Arial" w:hAnsi="Arial"/>
                <w:sz w:val="16"/>
                <w:szCs w:val="16"/>
                <w:color w:val="auto"/>
              </w:rPr>
              <w:t>1</w:t>
            </w:r>
          </w:p>
        </w:tc>
        <w:tc>
          <w:tcPr>
            <w:tcW w:w="180" w:type="dxa"/>
            <w:vAlign w:val="bottom"/>
          </w:tcPr>
          <w:p>
            <w:pPr>
              <w:spacing w:after="0"/>
              <w:rPr>
                <w:sz w:val="13"/>
                <w:szCs w:val="13"/>
                <w:color w:val="auto"/>
              </w:rPr>
            </w:pPr>
          </w:p>
        </w:tc>
        <w:tc>
          <w:tcPr>
            <w:tcW w:w="980" w:type="dxa"/>
            <w:vAlign w:val="bottom"/>
            <w:vMerge w:val="restart"/>
          </w:tcPr>
          <w:p>
            <w:pPr>
              <w:jc w:val="right"/>
              <w:spacing w:after="0"/>
              <w:rPr>
                <w:sz w:val="20"/>
                <w:szCs w:val="20"/>
                <w:color w:val="auto"/>
              </w:rPr>
            </w:pPr>
            <w:r>
              <w:rPr>
                <w:rFonts w:ascii="Arial" w:cs="Arial" w:eastAsia="Arial" w:hAnsi="Arial"/>
                <w:sz w:val="16"/>
                <w:szCs w:val="16"/>
                <w:color w:val="auto"/>
              </w:rPr>
              <w:t>1,729</w:t>
            </w:r>
          </w:p>
        </w:tc>
        <w:tc>
          <w:tcPr>
            <w:tcW w:w="560" w:type="dxa"/>
            <w:vAlign w:val="bottom"/>
          </w:tcPr>
          <w:p>
            <w:pPr>
              <w:spacing w:after="0"/>
              <w:rPr>
                <w:sz w:val="13"/>
                <w:szCs w:val="13"/>
                <w:color w:val="auto"/>
              </w:rPr>
            </w:pPr>
          </w:p>
        </w:tc>
        <w:tc>
          <w:tcPr>
            <w:tcW w:w="9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3"/>
                <w:szCs w:val="13"/>
                <w:color w:val="auto"/>
              </w:rPr>
            </w:pPr>
          </w:p>
        </w:tc>
        <w:tc>
          <w:tcPr>
            <w:tcW w:w="10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3"/>
                <w:szCs w:val="13"/>
                <w:color w:val="auto"/>
              </w:rPr>
            </w:pPr>
          </w:p>
        </w:tc>
        <w:tc>
          <w:tcPr>
            <w:tcW w:w="760" w:type="dxa"/>
            <w:vAlign w:val="bottom"/>
            <w:vMerge w:val="restart"/>
          </w:tcPr>
          <w:p>
            <w:pPr>
              <w:jc w:val="right"/>
              <w:spacing w:after="0"/>
              <w:rPr>
                <w:sz w:val="20"/>
                <w:szCs w:val="20"/>
                <w:color w:val="auto"/>
              </w:rPr>
            </w:pPr>
            <w:r>
              <w:rPr>
                <w:rFonts w:ascii="Arial" w:cs="Arial" w:eastAsia="Arial" w:hAnsi="Arial"/>
                <w:sz w:val="16"/>
                <w:szCs w:val="16"/>
                <w:color w:val="auto"/>
              </w:rPr>
              <w:t>1,730</w:t>
            </w:r>
          </w:p>
        </w:tc>
        <w:tc>
          <w:tcPr>
            <w:tcW w:w="0" w:type="dxa"/>
            <w:vAlign w:val="bottom"/>
          </w:tcPr>
          <w:p>
            <w:pPr>
              <w:spacing w:after="0"/>
              <w:rPr>
                <w:sz w:val="1"/>
                <w:szCs w:val="1"/>
                <w:color w:val="auto"/>
              </w:rPr>
            </w:pPr>
          </w:p>
        </w:tc>
      </w:tr>
      <w:tr>
        <w:trPr>
          <w:trHeight w:val="203"/>
        </w:trPr>
        <w:tc>
          <w:tcPr>
            <w:tcW w:w="4360" w:type="dxa"/>
            <w:vAlign w:val="bottom"/>
          </w:tcPr>
          <w:p>
            <w:pPr>
              <w:ind w:left="220"/>
              <w:spacing w:after="0"/>
              <w:rPr>
                <w:sz w:val="20"/>
                <w:szCs w:val="20"/>
                <w:color w:val="auto"/>
              </w:rPr>
            </w:pPr>
            <w:r>
              <w:rPr>
                <w:rFonts w:ascii="Arial" w:cs="Arial" w:eastAsia="Arial" w:hAnsi="Arial"/>
                <w:sz w:val="16"/>
                <w:szCs w:val="16"/>
                <w:color w:val="auto"/>
              </w:rPr>
              <w:t>based compensation</w:t>
            </w:r>
          </w:p>
        </w:tc>
        <w:tc>
          <w:tcPr>
            <w:tcW w:w="110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vMerge w:val="continue"/>
          </w:tcPr>
          <w:p>
            <w:pPr>
              <w:spacing w:after="0"/>
              <w:rPr>
                <w:sz w:val="17"/>
                <w:szCs w:val="17"/>
                <w:color w:val="auto"/>
              </w:rPr>
            </w:pPr>
          </w:p>
        </w:tc>
        <w:tc>
          <w:tcPr>
            <w:tcW w:w="560" w:type="dxa"/>
            <w:vAlign w:val="bottom"/>
          </w:tcPr>
          <w:p>
            <w:pPr>
              <w:spacing w:after="0"/>
              <w:rPr>
                <w:sz w:val="17"/>
                <w:szCs w:val="17"/>
                <w:color w:val="auto"/>
              </w:rPr>
            </w:pPr>
          </w:p>
        </w:tc>
        <w:tc>
          <w:tcPr>
            <w:tcW w:w="90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43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Contribution of services</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w:t>
            </w:r>
          </w:p>
        </w:tc>
        <w:tc>
          <w:tcPr>
            <w:tcW w:w="5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w:t>
            </w:r>
          </w:p>
        </w:tc>
        <w:tc>
          <w:tcPr>
            <w:tcW w:w="0" w:type="dxa"/>
            <w:vAlign w:val="bottom"/>
          </w:tcPr>
          <w:p>
            <w:pPr>
              <w:spacing w:after="0"/>
              <w:rPr>
                <w:sz w:val="1"/>
                <w:szCs w:val="1"/>
                <w:color w:val="auto"/>
              </w:rPr>
            </w:pPr>
          </w:p>
        </w:tc>
      </w:tr>
      <w:tr>
        <w:trPr>
          <w:trHeight w:val="160"/>
        </w:trPr>
        <w:tc>
          <w:tcPr>
            <w:tcW w:w="4360" w:type="dxa"/>
            <w:vAlign w:val="bottom"/>
          </w:tcPr>
          <w:p>
            <w:pPr>
              <w:ind w:left="220"/>
              <w:spacing w:after="0" w:line="160" w:lineRule="exact"/>
              <w:rPr>
                <w:sz w:val="20"/>
                <w:szCs w:val="20"/>
                <w:color w:val="auto"/>
              </w:rPr>
            </w:pPr>
            <w:r>
              <w:rPr>
                <w:rFonts w:ascii="Arial" w:cs="Arial" w:eastAsia="Arial" w:hAnsi="Arial"/>
                <w:sz w:val="16"/>
                <w:szCs w:val="16"/>
                <w:color w:val="auto"/>
                <w:w w:val="95"/>
              </w:rPr>
              <w:t>Recognition of stock-based compensation of employee stock</w:t>
            </w:r>
          </w:p>
        </w:tc>
        <w:tc>
          <w:tcPr>
            <w:tcW w:w="11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82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980" w:type="dxa"/>
            <w:vAlign w:val="bottom"/>
            <w:vMerge w:val="restart"/>
          </w:tcPr>
          <w:p>
            <w:pPr>
              <w:jc w:val="right"/>
              <w:spacing w:after="0"/>
              <w:rPr>
                <w:sz w:val="20"/>
                <w:szCs w:val="20"/>
                <w:color w:val="auto"/>
              </w:rPr>
            </w:pPr>
            <w:r>
              <w:rPr>
                <w:rFonts w:ascii="Arial" w:cs="Arial" w:eastAsia="Arial" w:hAnsi="Arial"/>
                <w:sz w:val="16"/>
                <w:szCs w:val="16"/>
                <w:color w:val="auto"/>
              </w:rPr>
              <w:t>102</w:t>
            </w:r>
          </w:p>
        </w:tc>
        <w:tc>
          <w:tcPr>
            <w:tcW w:w="560" w:type="dxa"/>
            <w:vAlign w:val="bottom"/>
          </w:tcPr>
          <w:p>
            <w:pPr>
              <w:spacing w:after="0"/>
              <w:rPr>
                <w:sz w:val="13"/>
                <w:szCs w:val="13"/>
                <w:color w:val="auto"/>
              </w:rPr>
            </w:pPr>
          </w:p>
        </w:tc>
        <w:tc>
          <w:tcPr>
            <w:tcW w:w="9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3"/>
                <w:szCs w:val="13"/>
                <w:color w:val="auto"/>
              </w:rPr>
            </w:pPr>
          </w:p>
        </w:tc>
        <w:tc>
          <w:tcPr>
            <w:tcW w:w="10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3"/>
                <w:szCs w:val="13"/>
                <w:color w:val="auto"/>
              </w:rPr>
            </w:pPr>
          </w:p>
        </w:tc>
        <w:tc>
          <w:tcPr>
            <w:tcW w:w="760" w:type="dxa"/>
            <w:vAlign w:val="bottom"/>
            <w:vMerge w:val="restart"/>
          </w:tcPr>
          <w:p>
            <w:pPr>
              <w:jc w:val="right"/>
              <w:spacing w:after="0"/>
              <w:rPr>
                <w:sz w:val="20"/>
                <w:szCs w:val="20"/>
                <w:color w:val="auto"/>
              </w:rPr>
            </w:pPr>
            <w:r>
              <w:rPr>
                <w:rFonts w:ascii="Arial" w:cs="Arial" w:eastAsia="Arial" w:hAnsi="Arial"/>
                <w:sz w:val="16"/>
                <w:szCs w:val="16"/>
                <w:color w:val="auto"/>
              </w:rPr>
              <w:t>102</w:t>
            </w:r>
          </w:p>
        </w:tc>
        <w:tc>
          <w:tcPr>
            <w:tcW w:w="0" w:type="dxa"/>
            <w:vAlign w:val="bottom"/>
          </w:tcPr>
          <w:p>
            <w:pPr>
              <w:spacing w:after="0"/>
              <w:rPr>
                <w:sz w:val="1"/>
                <w:szCs w:val="1"/>
                <w:color w:val="auto"/>
              </w:rPr>
            </w:pPr>
          </w:p>
        </w:tc>
      </w:tr>
      <w:tr>
        <w:trPr>
          <w:trHeight w:val="203"/>
        </w:trPr>
        <w:tc>
          <w:tcPr>
            <w:tcW w:w="4360" w:type="dxa"/>
            <w:vAlign w:val="bottom"/>
          </w:tcPr>
          <w:p>
            <w:pPr>
              <w:ind w:left="220"/>
              <w:spacing w:after="0"/>
              <w:rPr>
                <w:sz w:val="20"/>
                <w:szCs w:val="20"/>
                <w:color w:val="auto"/>
              </w:rPr>
            </w:pPr>
            <w:r>
              <w:rPr>
                <w:rFonts w:ascii="Arial" w:cs="Arial" w:eastAsia="Arial" w:hAnsi="Arial"/>
                <w:sz w:val="16"/>
                <w:szCs w:val="16"/>
                <w:color w:val="auto"/>
              </w:rPr>
              <w:t>purchase plan</w:t>
            </w:r>
          </w:p>
        </w:tc>
        <w:tc>
          <w:tcPr>
            <w:tcW w:w="110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vMerge w:val="continue"/>
          </w:tcPr>
          <w:p>
            <w:pPr>
              <w:spacing w:after="0"/>
              <w:rPr>
                <w:sz w:val="17"/>
                <w:szCs w:val="17"/>
                <w:color w:val="auto"/>
              </w:rPr>
            </w:pPr>
          </w:p>
        </w:tc>
        <w:tc>
          <w:tcPr>
            <w:tcW w:w="560" w:type="dxa"/>
            <w:vAlign w:val="bottom"/>
          </w:tcPr>
          <w:p>
            <w:pPr>
              <w:spacing w:after="0"/>
              <w:rPr>
                <w:sz w:val="17"/>
                <w:szCs w:val="17"/>
                <w:color w:val="auto"/>
              </w:rPr>
            </w:pPr>
          </w:p>
        </w:tc>
        <w:tc>
          <w:tcPr>
            <w:tcW w:w="90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3"/>
        </w:trPr>
        <w:tc>
          <w:tcPr>
            <w:tcW w:w="4360" w:type="dxa"/>
            <w:vAlign w:val="bottom"/>
            <w:shd w:val="clear" w:color="auto" w:fill="CCEEFF"/>
          </w:tcPr>
          <w:p>
            <w:pPr>
              <w:ind w:left="220"/>
              <w:spacing w:after="0" w:line="163" w:lineRule="exact"/>
              <w:rPr>
                <w:sz w:val="20"/>
                <w:szCs w:val="20"/>
                <w:color w:val="auto"/>
              </w:rPr>
            </w:pPr>
            <w:r>
              <w:rPr>
                <w:rFonts w:ascii="Arial" w:cs="Arial" w:eastAsia="Arial" w:hAnsi="Arial"/>
                <w:sz w:val="16"/>
                <w:szCs w:val="16"/>
                <w:color w:val="auto"/>
                <w:w w:val="96"/>
              </w:rPr>
              <w:t>Common stock issued in connection with conversion of Loan</w:t>
            </w:r>
          </w:p>
        </w:tc>
        <w:tc>
          <w:tcPr>
            <w:tcW w:w="11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200,140</w:t>
            </w:r>
          </w:p>
        </w:tc>
        <w:tc>
          <w:tcPr>
            <w:tcW w:w="160" w:type="dxa"/>
            <w:vAlign w:val="bottom"/>
            <w:shd w:val="clear" w:color="auto" w:fill="CCEEFF"/>
          </w:tcPr>
          <w:p>
            <w:pPr>
              <w:spacing w:after="0"/>
              <w:rPr>
                <w:sz w:val="14"/>
                <w:szCs w:val="14"/>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20</w:t>
            </w:r>
          </w:p>
        </w:tc>
        <w:tc>
          <w:tcPr>
            <w:tcW w:w="180" w:type="dxa"/>
            <w:vAlign w:val="bottom"/>
            <w:shd w:val="clear" w:color="auto" w:fill="CCEEFF"/>
          </w:tcPr>
          <w:p>
            <w:pPr>
              <w:spacing w:after="0"/>
              <w:rPr>
                <w:sz w:val="14"/>
                <w:szCs w:val="14"/>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120,441</w:t>
            </w:r>
          </w:p>
        </w:tc>
        <w:tc>
          <w:tcPr>
            <w:tcW w:w="560" w:type="dxa"/>
            <w:vAlign w:val="bottom"/>
            <w:shd w:val="clear" w:color="auto" w:fill="CCEEFF"/>
          </w:tcPr>
          <w:p>
            <w:pPr>
              <w:spacing w:after="0"/>
              <w:rPr>
                <w:sz w:val="14"/>
                <w:szCs w:val="14"/>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4"/>
                <w:szCs w:val="14"/>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4"/>
                <w:szCs w:val="14"/>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120,461</w:t>
            </w:r>
          </w:p>
        </w:tc>
        <w:tc>
          <w:tcPr>
            <w:tcW w:w="0" w:type="dxa"/>
            <w:vAlign w:val="bottom"/>
          </w:tcPr>
          <w:p>
            <w:pPr>
              <w:spacing w:after="0"/>
              <w:rPr>
                <w:sz w:val="1"/>
                <w:szCs w:val="1"/>
                <w:color w:val="auto"/>
              </w:rPr>
            </w:pPr>
          </w:p>
        </w:tc>
      </w:tr>
      <w:tr>
        <w:trPr>
          <w:trHeight w:val="206"/>
        </w:trPr>
        <w:tc>
          <w:tcPr>
            <w:tcW w:w="43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Agreement with Thermo</w:t>
            </w:r>
          </w:p>
        </w:tc>
        <w:tc>
          <w:tcPr>
            <w:tcW w:w="1100" w:type="dxa"/>
            <w:vAlign w:val="bottom"/>
            <w:vMerge w:val="continue"/>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20" w:type="dxa"/>
            <w:vAlign w:val="bottom"/>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80" w:type="dxa"/>
            <w:vAlign w:val="bottom"/>
            <w:vMerge w:val="continue"/>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900" w:type="dxa"/>
            <w:vAlign w:val="bottom"/>
            <w:vMerge w:val="continue"/>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0" w:type="dxa"/>
            <w:vAlign w:val="bottom"/>
            <w:vMerge w:val="continue"/>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6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4360" w:type="dxa"/>
            <w:vAlign w:val="bottom"/>
          </w:tcPr>
          <w:p>
            <w:pPr>
              <w:ind w:left="220"/>
              <w:spacing w:after="0"/>
              <w:rPr>
                <w:sz w:val="20"/>
                <w:szCs w:val="20"/>
                <w:color w:val="auto"/>
              </w:rPr>
            </w:pPr>
            <w:r>
              <w:rPr>
                <w:rFonts w:ascii="Arial" w:cs="Arial" w:eastAsia="Arial" w:hAnsi="Arial"/>
                <w:sz w:val="16"/>
                <w:szCs w:val="16"/>
                <w:color w:val="auto"/>
              </w:rPr>
              <w:t>Impact of adoption of Credit Loss Standard</w:t>
            </w: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5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(1,684)</w:t>
            </w:r>
          </w:p>
        </w:tc>
        <w:tc>
          <w:tcPr>
            <w:tcW w:w="2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(1,684)</w:t>
            </w:r>
          </w:p>
        </w:tc>
        <w:tc>
          <w:tcPr>
            <w:tcW w:w="0" w:type="dxa"/>
            <w:vAlign w:val="bottom"/>
          </w:tcPr>
          <w:p>
            <w:pPr>
              <w:spacing w:after="0"/>
              <w:rPr>
                <w:sz w:val="1"/>
                <w:szCs w:val="1"/>
                <w:color w:val="auto"/>
              </w:rPr>
            </w:pPr>
          </w:p>
        </w:tc>
      </w:tr>
      <w:tr>
        <w:trPr>
          <w:trHeight w:val="212"/>
        </w:trPr>
        <w:tc>
          <w:tcPr>
            <w:tcW w:w="43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Other comprehensive income</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5,303</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5,303</w:t>
            </w:r>
          </w:p>
        </w:tc>
        <w:tc>
          <w:tcPr>
            <w:tcW w:w="0" w:type="dxa"/>
            <w:vAlign w:val="bottom"/>
          </w:tcPr>
          <w:p>
            <w:pPr>
              <w:spacing w:after="0"/>
              <w:rPr>
                <w:sz w:val="1"/>
                <w:szCs w:val="1"/>
                <w:color w:val="auto"/>
              </w:rPr>
            </w:pPr>
          </w:p>
        </w:tc>
      </w:tr>
      <w:tr>
        <w:trPr>
          <w:trHeight w:val="206"/>
        </w:trPr>
        <w:tc>
          <w:tcPr>
            <w:tcW w:w="4360" w:type="dxa"/>
            <w:vAlign w:val="bottom"/>
            <w:tcBorders>
              <w:bottom w:val="single" w:sz="8" w:color="CCEEFF"/>
            </w:tcBorders>
          </w:tcPr>
          <w:p>
            <w:pPr>
              <w:ind w:left="220"/>
              <w:spacing w:after="0"/>
              <w:rPr>
                <w:sz w:val="20"/>
                <w:szCs w:val="20"/>
                <w:color w:val="auto"/>
              </w:rPr>
            </w:pPr>
            <w:r>
              <w:rPr>
                <w:rFonts w:ascii="Arial" w:cs="Arial" w:eastAsia="Arial" w:hAnsi="Arial"/>
                <w:sz w:val="16"/>
                <w:szCs w:val="16"/>
                <w:color w:val="auto"/>
              </w:rPr>
              <w:t>Net loss</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5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(38,223)</w:t>
            </w:r>
          </w:p>
        </w:tc>
        <w:tc>
          <w:tcPr>
            <w:tcW w:w="2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(38,223)</w:t>
            </w:r>
          </w:p>
        </w:tc>
        <w:tc>
          <w:tcPr>
            <w:tcW w:w="0" w:type="dxa"/>
            <w:vAlign w:val="bottom"/>
          </w:tcPr>
          <w:p>
            <w:pPr>
              <w:spacing w:after="0"/>
              <w:rPr>
                <w:sz w:val="1"/>
                <w:szCs w:val="1"/>
                <w:color w:val="auto"/>
              </w:rPr>
            </w:pPr>
          </w:p>
        </w:tc>
      </w:tr>
      <w:tr>
        <w:trPr>
          <w:trHeight w:val="205"/>
        </w:trPr>
        <w:tc>
          <w:tcPr>
            <w:tcW w:w="4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Balances – March 31, 2020</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1,667,704</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167</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2,092,410</w:t>
            </w:r>
          </w:p>
        </w:tc>
        <w:tc>
          <w:tcPr>
            <w:tcW w:w="56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1,854</w:t>
            </w:r>
          </w:p>
        </w:tc>
        <w:tc>
          <w:tcPr>
            <w:tcW w:w="22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(1,599,308)</w:t>
            </w:r>
          </w:p>
        </w:tc>
        <w:tc>
          <w:tcPr>
            <w:tcW w:w="200" w:type="dxa"/>
            <w:vAlign w:val="bottom"/>
            <w:tcBorders>
              <w:bottom w:val="single" w:sz="8" w:color="auto"/>
            </w:tcBorders>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495,123</w:t>
            </w:r>
          </w:p>
        </w:tc>
        <w:tc>
          <w:tcPr>
            <w:tcW w:w="0" w:type="dxa"/>
            <w:vAlign w:val="bottom"/>
          </w:tcPr>
          <w:p>
            <w:pPr>
              <w:spacing w:after="0"/>
              <w:rPr>
                <w:sz w:val="1"/>
                <w:szCs w:val="1"/>
                <w:color w:val="auto"/>
              </w:rPr>
            </w:pPr>
          </w:p>
        </w:tc>
      </w:tr>
      <w:tr>
        <w:trPr>
          <w:trHeight w:val="140"/>
        </w:trPr>
        <w:tc>
          <w:tcPr>
            <w:tcW w:w="4360" w:type="dxa"/>
            <w:vAlign w:val="bottom"/>
          </w:tcPr>
          <w:p>
            <w:pPr>
              <w:ind w:left="220"/>
              <w:spacing w:after="0" w:line="140" w:lineRule="exact"/>
              <w:rPr>
                <w:sz w:val="20"/>
                <w:szCs w:val="20"/>
                <w:color w:val="auto"/>
              </w:rPr>
            </w:pPr>
            <w:r>
              <w:rPr>
                <w:rFonts w:ascii="Arial" w:cs="Arial" w:eastAsia="Arial" w:hAnsi="Arial"/>
                <w:sz w:val="16"/>
                <w:szCs w:val="16"/>
                <w:color w:val="auto"/>
                <w:w w:val="90"/>
              </w:rPr>
              <w:t>Net issuance of restricted stock awards and recognition of stock-</w:t>
            </w:r>
          </w:p>
        </w:tc>
        <w:tc>
          <w:tcPr>
            <w:tcW w:w="1100" w:type="dxa"/>
            <w:vAlign w:val="bottom"/>
            <w:vMerge w:val="restart"/>
          </w:tcPr>
          <w:p>
            <w:pPr>
              <w:jc w:val="right"/>
              <w:spacing w:after="0"/>
              <w:rPr>
                <w:sz w:val="20"/>
                <w:szCs w:val="20"/>
                <w:color w:val="auto"/>
              </w:rPr>
            </w:pPr>
            <w:r>
              <w:rPr>
                <w:rFonts w:ascii="Arial" w:cs="Arial" w:eastAsia="Arial" w:hAnsi="Arial"/>
                <w:sz w:val="16"/>
                <w:szCs w:val="16"/>
                <w:color w:val="auto"/>
              </w:rPr>
              <w:t>1,354</w:t>
            </w:r>
          </w:p>
        </w:tc>
        <w:tc>
          <w:tcPr>
            <w:tcW w:w="160" w:type="dxa"/>
            <w:vAlign w:val="bottom"/>
          </w:tcPr>
          <w:p>
            <w:pPr>
              <w:spacing w:after="0"/>
              <w:rPr>
                <w:sz w:val="12"/>
                <w:szCs w:val="12"/>
                <w:color w:val="auto"/>
              </w:rPr>
            </w:pPr>
          </w:p>
        </w:tc>
        <w:tc>
          <w:tcPr>
            <w:tcW w:w="82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2"/>
                <w:szCs w:val="12"/>
                <w:color w:val="auto"/>
              </w:rPr>
            </w:pPr>
          </w:p>
        </w:tc>
        <w:tc>
          <w:tcPr>
            <w:tcW w:w="980" w:type="dxa"/>
            <w:vAlign w:val="bottom"/>
            <w:vMerge w:val="restart"/>
          </w:tcPr>
          <w:p>
            <w:pPr>
              <w:jc w:val="right"/>
              <w:spacing w:after="0"/>
              <w:rPr>
                <w:sz w:val="20"/>
                <w:szCs w:val="20"/>
                <w:color w:val="auto"/>
              </w:rPr>
            </w:pPr>
            <w:r>
              <w:rPr>
                <w:rFonts w:ascii="Arial" w:cs="Arial" w:eastAsia="Arial" w:hAnsi="Arial"/>
                <w:sz w:val="16"/>
                <w:szCs w:val="16"/>
                <w:color w:val="auto"/>
              </w:rPr>
              <w:t>922</w:t>
            </w:r>
          </w:p>
        </w:tc>
        <w:tc>
          <w:tcPr>
            <w:tcW w:w="560" w:type="dxa"/>
            <w:vAlign w:val="bottom"/>
          </w:tcPr>
          <w:p>
            <w:pPr>
              <w:spacing w:after="0"/>
              <w:rPr>
                <w:sz w:val="12"/>
                <w:szCs w:val="12"/>
                <w:color w:val="auto"/>
              </w:rPr>
            </w:pPr>
          </w:p>
        </w:tc>
        <w:tc>
          <w:tcPr>
            <w:tcW w:w="9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2"/>
                <w:szCs w:val="12"/>
                <w:color w:val="auto"/>
              </w:rPr>
            </w:pPr>
          </w:p>
        </w:tc>
        <w:tc>
          <w:tcPr>
            <w:tcW w:w="10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2"/>
                <w:szCs w:val="12"/>
                <w:color w:val="auto"/>
              </w:rPr>
            </w:pPr>
          </w:p>
        </w:tc>
        <w:tc>
          <w:tcPr>
            <w:tcW w:w="760" w:type="dxa"/>
            <w:vAlign w:val="bottom"/>
            <w:vMerge w:val="restart"/>
          </w:tcPr>
          <w:p>
            <w:pPr>
              <w:jc w:val="right"/>
              <w:spacing w:after="0"/>
              <w:rPr>
                <w:sz w:val="20"/>
                <w:szCs w:val="20"/>
                <w:color w:val="auto"/>
              </w:rPr>
            </w:pPr>
            <w:r>
              <w:rPr>
                <w:rFonts w:ascii="Arial" w:cs="Arial" w:eastAsia="Arial" w:hAnsi="Arial"/>
                <w:sz w:val="16"/>
                <w:szCs w:val="16"/>
                <w:color w:val="auto"/>
              </w:rPr>
              <w:t>922</w:t>
            </w:r>
          </w:p>
        </w:tc>
        <w:tc>
          <w:tcPr>
            <w:tcW w:w="0" w:type="dxa"/>
            <w:vAlign w:val="bottom"/>
          </w:tcPr>
          <w:p>
            <w:pPr>
              <w:spacing w:after="0"/>
              <w:rPr>
                <w:sz w:val="1"/>
                <w:szCs w:val="1"/>
                <w:color w:val="auto"/>
              </w:rPr>
            </w:pPr>
          </w:p>
        </w:tc>
      </w:tr>
      <w:tr>
        <w:trPr>
          <w:trHeight w:val="203"/>
        </w:trPr>
        <w:tc>
          <w:tcPr>
            <w:tcW w:w="4360" w:type="dxa"/>
            <w:vAlign w:val="bottom"/>
          </w:tcPr>
          <w:p>
            <w:pPr>
              <w:ind w:left="220"/>
              <w:spacing w:after="0"/>
              <w:rPr>
                <w:sz w:val="20"/>
                <w:szCs w:val="20"/>
                <w:color w:val="auto"/>
              </w:rPr>
            </w:pPr>
            <w:r>
              <w:rPr>
                <w:rFonts w:ascii="Arial" w:cs="Arial" w:eastAsia="Arial" w:hAnsi="Arial"/>
                <w:sz w:val="16"/>
                <w:szCs w:val="16"/>
                <w:color w:val="auto"/>
              </w:rPr>
              <w:t>based compensation</w:t>
            </w:r>
          </w:p>
        </w:tc>
        <w:tc>
          <w:tcPr>
            <w:tcW w:w="110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vMerge w:val="continue"/>
          </w:tcPr>
          <w:p>
            <w:pPr>
              <w:spacing w:after="0"/>
              <w:rPr>
                <w:sz w:val="17"/>
                <w:szCs w:val="17"/>
                <w:color w:val="auto"/>
              </w:rPr>
            </w:pPr>
          </w:p>
        </w:tc>
        <w:tc>
          <w:tcPr>
            <w:tcW w:w="560" w:type="dxa"/>
            <w:vAlign w:val="bottom"/>
          </w:tcPr>
          <w:p>
            <w:pPr>
              <w:spacing w:after="0"/>
              <w:rPr>
                <w:sz w:val="17"/>
                <w:szCs w:val="17"/>
                <w:color w:val="auto"/>
              </w:rPr>
            </w:pPr>
          </w:p>
        </w:tc>
        <w:tc>
          <w:tcPr>
            <w:tcW w:w="90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43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Contribution of services</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w:t>
            </w:r>
          </w:p>
        </w:tc>
        <w:tc>
          <w:tcPr>
            <w:tcW w:w="5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w:t>
            </w:r>
          </w:p>
        </w:tc>
        <w:tc>
          <w:tcPr>
            <w:tcW w:w="0" w:type="dxa"/>
            <w:vAlign w:val="bottom"/>
          </w:tcPr>
          <w:p>
            <w:pPr>
              <w:spacing w:after="0"/>
              <w:rPr>
                <w:sz w:val="1"/>
                <w:szCs w:val="1"/>
                <w:color w:val="auto"/>
              </w:rPr>
            </w:pPr>
          </w:p>
        </w:tc>
      </w:tr>
      <w:tr>
        <w:trPr>
          <w:trHeight w:val="160"/>
        </w:trPr>
        <w:tc>
          <w:tcPr>
            <w:tcW w:w="4360" w:type="dxa"/>
            <w:vAlign w:val="bottom"/>
          </w:tcPr>
          <w:p>
            <w:pPr>
              <w:ind w:left="220"/>
              <w:spacing w:after="0" w:line="160" w:lineRule="exact"/>
              <w:rPr>
                <w:sz w:val="20"/>
                <w:szCs w:val="20"/>
                <w:color w:val="auto"/>
              </w:rPr>
            </w:pPr>
            <w:r>
              <w:rPr>
                <w:rFonts w:ascii="Arial" w:cs="Arial" w:eastAsia="Arial" w:hAnsi="Arial"/>
                <w:sz w:val="16"/>
                <w:szCs w:val="16"/>
                <w:color w:val="auto"/>
                <w:w w:val="89"/>
              </w:rPr>
              <w:t>Net issuance of stock through employee stock purchase plan and</w:t>
            </w:r>
          </w:p>
        </w:tc>
        <w:tc>
          <w:tcPr>
            <w:tcW w:w="1100" w:type="dxa"/>
            <w:vAlign w:val="bottom"/>
            <w:vMerge w:val="restart"/>
          </w:tcPr>
          <w:p>
            <w:pPr>
              <w:jc w:val="right"/>
              <w:spacing w:after="0"/>
              <w:rPr>
                <w:sz w:val="20"/>
                <w:szCs w:val="20"/>
                <w:color w:val="auto"/>
              </w:rPr>
            </w:pPr>
            <w:r>
              <w:rPr>
                <w:rFonts w:ascii="Arial" w:cs="Arial" w:eastAsia="Arial" w:hAnsi="Arial"/>
                <w:sz w:val="16"/>
                <w:szCs w:val="16"/>
                <w:color w:val="auto"/>
              </w:rPr>
              <w:t>1,188</w:t>
            </w:r>
          </w:p>
        </w:tc>
        <w:tc>
          <w:tcPr>
            <w:tcW w:w="160" w:type="dxa"/>
            <w:vAlign w:val="bottom"/>
          </w:tcPr>
          <w:p>
            <w:pPr>
              <w:spacing w:after="0"/>
              <w:rPr>
                <w:sz w:val="13"/>
                <w:szCs w:val="13"/>
                <w:color w:val="auto"/>
              </w:rPr>
            </w:pPr>
          </w:p>
        </w:tc>
        <w:tc>
          <w:tcPr>
            <w:tcW w:w="82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980" w:type="dxa"/>
            <w:vAlign w:val="bottom"/>
            <w:vMerge w:val="restart"/>
          </w:tcPr>
          <w:p>
            <w:pPr>
              <w:jc w:val="right"/>
              <w:spacing w:after="0"/>
              <w:rPr>
                <w:sz w:val="20"/>
                <w:szCs w:val="20"/>
                <w:color w:val="auto"/>
              </w:rPr>
            </w:pPr>
            <w:r>
              <w:rPr>
                <w:rFonts w:ascii="Arial" w:cs="Arial" w:eastAsia="Arial" w:hAnsi="Arial"/>
                <w:sz w:val="16"/>
                <w:szCs w:val="16"/>
                <w:color w:val="auto"/>
              </w:rPr>
              <w:t>482</w:t>
            </w:r>
          </w:p>
        </w:tc>
        <w:tc>
          <w:tcPr>
            <w:tcW w:w="560" w:type="dxa"/>
            <w:vAlign w:val="bottom"/>
          </w:tcPr>
          <w:p>
            <w:pPr>
              <w:spacing w:after="0"/>
              <w:rPr>
                <w:sz w:val="13"/>
                <w:szCs w:val="13"/>
                <w:color w:val="auto"/>
              </w:rPr>
            </w:pPr>
          </w:p>
        </w:tc>
        <w:tc>
          <w:tcPr>
            <w:tcW w:w="9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3"/>
                <w:szCs w:val="13"/>
                <w:color w:val="auto"/>
              </w:rPr>
            </w:pPr>
          </w:p>
        </w:tc>
        <w:tc>
          <w:tcPr>
            <w:tcW w:w="10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3"/>
                <w:szCs w:val="13"/>
                <w:color w:val="auto"/>
              </w:rPr>
            </w:pPr>
          </w:p>
        </w:tc>
        <w:tc>
          <w:tcPr>
            <w:tcW w:w="760" w:type="dxa"/>
            <w:vAlign w:val="bottom"/>
            <w:vMerge w:val="restart"/>
          </w:tcPr>
          <w:p>
            <w:pPr>
              <w:jc w:val="right"/>
              <w:spacing w:after="0"/>
              <w:rPr>
                <w:sz w:val="20"/>
                <w:szCs w:val="20"/>
                <w:color w:val="auto"/>
              </w:rPr>
            </w:pPr>
            <w:r>
              <w:rPr>
                <w:rFonts w:ascii="Arial" w:cs="Arial" w:eastAsia="Arial" w:hAnsi="Arial"/>
                <w:sz w:val="16"/>
                <w:szCs w:val="16"/>
                <w:color w:val="auto"/>
              </w:rPr>
              <w:t>482</w:t>
            </w:r>
          </w:p>
        </w:tc>
        <w:tc>
          <w:tcPr>
            <w:tcW w:w="0" w:type="dxa"/>
            <w:vAlign w:val="bottom"/>
          </w:tcPr>
          <w:p>
            <w:pPr>
              <w:spacing w:after="0"/>
              <w:rPr>
                <w:sz w:val="1"/>
                <w:szCs w:val="1"/>
                <w:color w:val="auto"/>
              </w:rPr>
            </w:pPr>
          </w:p>
        </w:tc>
      </w:tr>
      <w:tr>
        <w:trPr>
          <w:trHeight w:val="203"/>
        </w:trPr>
        <w:tc>
          <w:tcPr>
            <w:tcW w:w="4360" w:type="dxa"/>
            <w:vAlign w:val="bottom"/>
          </w:tcPr>
          <w:p>
            <w:pPr>
              <w:ind w:left="220"/>
              <w:spacing w:after="0"/>
              <w:rPr>
                <w:sz w:val="20"/>
                <w:szCs w:val="20"/>
                <w:color w:val="auto"/>
              </w:rPr>
            </w:pPr>
            <w:r>
              <w:rPr>
                <w:rFonts w:ascii="Arial" w:cs="Arial" w:eastAsia="Arial" w:hAnsi="Arial"/>
                <w:sz w:val="16"/>
                <w:szCs w:val="16"/>
                <w:color w:val="auto"/>
              </w:rPr>
              <w:t>recognition of stock-based compensation</w:t>
            </w:r>
          </w:p>
        </w:tc>
        <w:tc>
          <w:tcPr>
            <w:tcW w:w="110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vMerge w:val="continue"/>
          </w:tcPr>
          <w:p>
            <w:pPr>
              <w:spacing w:after="0"/>
              <w:rPr>
                <w:sz w:val="17"/>
                <w:szCs w:val="17"/>
                <w:color w:val="auto"/>
              </w:rPr>
            </w:pPr>
          </w:p>
        </w:tc>
        <w:tc>
          <w:tcPr>
            <w:tcW w:w="560" w:type="dxa"/>
            <w:vAlign w:val="bottom"/>
          </w:tcPr>
          <w:p>
            <w:pPr>
              <w:spacing w:after="0"/>
              <w:rPr>
                <w:sz w:val="17"/>
                <w:szCs w:val="17"/>
                <w:color w:val="auto"/>
              </w:rPr>
            </w:pPr>
          </w:p>
        </w:tc>
        <w:tc>
          <w:tcPr>
            <w:tcW w:w="90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3"/>
        </w:trPr>
        <w:tc>
          <w:tcPr>
            <w:tcW w:w="4360" w:type="dxa"/>
            <w:vAlign w:val="bottom"/>
            <w:shd w:val="clear" w:color="auto" w:fill="CCEEFF"/>
          </w:tcPr>
          <w:p>
            <w:pPr>
              <w:ind w:left="220"/>
              <w:spacing w:after="0" w:line="163" w:lineRule="exact"/>
              <w:rPr>
                <w:sz w:val="20"/>
                <w:szCs w:val="20"/>
                <w:color w:val="auto"/>
              </w:rPr>
            </w:pPr>
            <w:r>
              <w:rPr>
                <w:rFonts w:ascii="Arial" w:cs="Arial" w:eastAsia="Arial" w:hAnsi="Arial"/>
                <w:sz w:val="16"/>
                <w:szCs w:val="16"/>
                <w:color w:val="auto"/>
                <w:w w:val="96"/>
              </w:rPr>
              <w:t>Common stock issued in connection with conversion of 2013</w:t>
            </w:r>
          </w:p>
        </w:tc>
        <w:tc>
          <w:tcPr>
            <w:tcW w:w="11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44</w:t>
            </w:r>
          </w:p>
        </w:tc>
        <w:tc>
          <w:tcPr>
            <w:tcW w:w="160" w:type="dxa"/>
            <w:vAlign w:val="bottom"/>
            <w:shd w:val="clear" w:color="auto" w:fill="CCEEFF"/>
          </w:tcPr>
          <w:p>
            <w:pPr>
              <w:spacing w:after="0"/>
              <w:rPr>
                <w:sz w:val="14"/>
                <w:szCs w:val="14"/>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4"/>
                <w:szCs w:val="14"/>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16</w:t>
            </w:r>
          </w:p>
        </w:tc>
        <w:tc>
          <w:tcPr>
            <w:tcW w:w="560" w:type="dxa"/>
            <w:vAlign w:val="bottom"/>
            <w:shd w:val="clear" w:color="auto" w:fill="CCEEFF"/>
          </w:tcPr>
          <w:p>
            <w:pPr>
              <w:spacing w:after="0"/>
              <w:rPr>
                <w:sz w:val="14"/>
                <w:szCs w:val="14"/>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4"/>
                <w:szCs w:val="14"/>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4"/>
                <w:szCs w:val="14"/>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16</w:t>
            </w:r>
          </w:p>
        </w:tc>
        <w:tc>
          <w:tcPr>
            <w:tcW w:w="0" w:type="dxa"/>
            <w:vAlign w:val="bottom"/>
          </w:tcPr>
          <w:p>
            <w:pPr>
              <w:spacing w:after="0"/>
              <w:rPr>
                <w:sz w:val="1"/>
                <w:szCs w:val="1"/>
                <w:color w:val="auto"/>
              </w:rPr>
            </w:pPr>
          </w:p>
        </w:tc>
      </w:tr>
      <w:tr>
        <w:trPr>
          <w:trHeight w:val="206"/>
        </w:trPr>
        <w:tc>
          <w:tcPr>
            <w:tcW w:w="43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8.00% Notes</w:t>
            </w:r>
          </w:p>
        </w:tc>
        <w:tc>
          <w:tcPr>
            <w:tcW w:w="1100" w:type="dxa"/>
            <w:vAlign w:val="bottom"/>
            <w:vMerge w:val="continue"/>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20" w:type="dxa"/>
            <w:vAlign w:val="bottom"/>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80" w:type="dxa"/>
            <w:vAlign w:val="bottom"/>
            <w:vMerge w:val="continue"/>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900" w:type="dxa"/>
            <w:vAlign w:val="bottom"/>
            <w:vMerge w:val="continue"/>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0" w:type="dxa"/>
            <w:vAlign w:val="bottom"/>
            <w:vMerge w:val="continue"/>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6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4360" w:type="dxa"/>
            <w:vAlign w:val="bottom"/>
          </w:tcPr>
          <w:p>
            <w:pPr>
              <w:ind w:left="220"/>
              <w:spacing w:after="0"/>
              <w:rPr>
                <w:sz w:val="20"/>
                <w:szCs w:val="20"/>
                <w:color w:val="auto"/>
              </w:rPr>
            </w:pPr>
            <w:r>
              <w:rPr>
                <w:rFonts w:ascii="Arial" w:cs="Arial" w:eastAsia="Arial" w:hAnsi="Arial"/>
                <w:sz w:val="16"/>
                <w:szCs w:val="16"/>
                <w:color w:val="auto"/>
              </w:rPr>
              <w:t>Other comprehensive loss</w:t>
            </w: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5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(1,368)</w:t>
            </w:r>
          </w:p>
        </w:tc>
        <w:tc>
          <w:tcPr>
            <w:tcW w:w="2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(1,368)</w:t>
            </w:r>
          </w:p>
        </w:tc>
        <w:tc>
          <w:tcPr>
            <w:tcW w:w="0" w:type="dxa"/>
            <w:vAlign w:val="bottom"/>
          </w:tcPr>
          <w:p>
            <w:pPr>
              <w:spacing w:after="0"/>
              <w:rPr>
                <w:sz w:val="1"/>
                <w:szCs w:val="1"/>
                <w:color w:val="auto"/>
              </w:rPr>
            </w:pPr>
          </w:p>
        </w:tc>
      </w:tr>
      <w:tr>
        <w:trPr>
          <w:trHeight w:val="212"/>
        </w:trPr>
        <w:tc>
          <w:tcPr>
            <w:tcW w:w="43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Net loss</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6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(24,736)</w:t>
            </w:r>
          </w:p>
        </w:tc>
        <w:tc>
          <w:tcPr>
            <w:tcW w:w="2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(24,736)</w:t>
            </w:r>
          </w:p>
        </w:tc>
        <w:tc>
          <w:tcPr>
            <w:tcW w:w="0" w:type="dxa"/>
            <w:vAlign w:val="bottom"/>
          </w:tcPr>
          <w:p>
            <w:pPr>
              <w:spacing w:after="0"/>
              <w:rPr>
                <w:sz w:val="1"/>
                <w:szCs w:val="1"/>
                <w:color w:val="auto"/>
              </w:rPr>
            </w:pPr>
          </w:p>
        </w:tc>
      </w:tr>
      <w:tr>
        <w:trPr>
          <w:trHeight w:val="199"/>
        </w:trPr>
        <w:tc>
          <w:tcPr>
            <w:tcW w:w="436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Balances – June 30, 2020</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1,670,290</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167</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2,093,877</w:t>
            </w:r>
          </w:p>
        </w:tc>
        <w:tc>
          <w:tcPr>
            <w:tcW w:w="560" w:type="dxa"/>
            <w:vAlign w:val="bottom"/>
            <w:tcBorders>
              <w:bottom w:val="single" w:sz="8" w:color="auto"/>
            </w:tcBorders>
          </w:tcPr>
          <w:p>
            <w:pPr>
              <w:ind w:left="40"/>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486</w:t>
            </w:r>
          </w:p>
        </w:tc>
        <w:tc>
          <w:tcPr>
            <w:tcW w:w="220" w:type="dxa"/>
            <w:vAlign w:val="bottom"/>
            <w:tcBorders>
              <w:bottom w:val="single" w:sz="8" w:color="auto"/>
            </w:tcBorders>
          </w:tcPr>
          <w:p>
            <w:pPr>
              <w:jc w:val="right"/>
              <w:ind w:right="42"/>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(1,624,044)</w:t>
            </w:r>
          </w:p>
        </w:tc>
        <w:tc>
          <w:tcPr>
            <w:tcW w:w="200" w:type="dxa"/>
            <w:vAlign w:val="bottom"/>
            <w:tcBorders>
              <w:bottom w:val="single" w:sz="8" w:color="auto"/>
            </w:tcBorders>
          </w:tcPr>
          <w:p>
            <w:pPr>
              <w:jc w:val="right"/>
              <w:ind w:right="22"/>
              <w:spacing w:after="0"/>
              <w:rPr>
                <w:sz w:val="20"/>
                <w:szCs w:val="20"/>
                <w:color w:val="auto"/>
              </w:rPr>
            </w:pPr>
            <w:r>
              <w:rPr>
                <w:rFonts w:ascii="Arial" w:cs="Arial" w:eastAsia="Arial" w:hAnsi="Arial"/>
                <w:sz w:val="16"/>
                <w:szCs w:val="16"/>
                <w:color w:val="auto"/>
                <w:w w:val="89"/>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470,486</w:t>
            </w:r>
          </w:p>
        </w:tc>
        <w:tc>
          <w:tcPr>
            <w:tcW w:w="0" w:type="dxa"/>
            <w:vAlign w:val="bottom"/>
          </w:tcPr>
          <w:p>
            <w:pPr>
              <w:spacing w:after="0"/>
              <w:rPr>
                <w:sz w:val="1"/>
                <w:szCs w:val="1"/>
                <w:color w:val="auto"/>
              </w:rPr>
            </w:pPr>
          </w:p>
        </w:tc>
      </w:tr>
      <w:tr>
        <w:trPr>
          <w:trHeight w:val="143"/>
        </w:trPr>
        <w:tc>
          <w:tcPr>
            <w:tcW w:w="4360" w:type="dxa"/>
            <w:vAlign w:val="bottom"/>
            <w:shd w:val="clear" w:color="auto" w:fill="CCEEFF"/>
          </w:tcPr>
          <w:p>
            <w:pPr>
              <w:ind w:left="220"/>
              <w:spacing w:after="0" w:line="143" w:lineRule="exact"/>
              <w:rPr>
                <w:sz w:val="20"/>
                <w:szCs w:val="20"/>
                <w:color w:val="auto"/>
              </w:rPr>
            </w:pPr>
            <w:r>
              <w:rPr>
                <w:rFonts w:ascii="Arial" w:cs="Arial" w:eastAsia="Arial" w:hAnsi="Arial"/>
                <w:sz w:val="16"/>
                <w:szCs w:val="16"/>
                <w:color w:val="auto"/>
                <w:w w:val="90"/>
              </w:rPr>
              <w:t>Net issuance of restricted stock awards and recognition of stock-</w:t>
            </w:r>
          </w:p>
        </w:tc>
        <w:tc>
          <w:tcPr>
            <w:tcW w:w="11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14</w:t>
            </w:r>
          </w:p>
        </w:tc>
        <w:tc>
          <w:tcPr>
            <w:tcW w:w="160" w:type="dxa"/>
            <w:vAlign w:val="bottom"/>
            <w:shd w:val="clear" w:color="auto" w:fill="CCEEFF"/>
          </w:tcPr>
          <w:p>
            <w:pPr>
              <w:spacing w:after="0"/>
              <w:rPr>
                <w:sz w:val="12"/>
                <w:szCs w:val="12"/>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2"/>
                <w:szCs w:val="12"/>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945</w:t>
            </w:r>
          </w:p>
        </w:tc>
        <w:tc>
          <w:tcPr>
            <w:tcW w:w="56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945</w:t>
            </w:r>
          </w:p>
        </w:tc>
        <w:tc>
          <w:tcPr>
            <w:tcW w:w="0" w:type="dxa"/>
            <w:vAlign w:val="bottom"/>
          </w:tcPr>
          <w:p>
            <w:pPr>
              <w:spacing w:after="0"/>
              <w:rPr>
                <w:sz w:val="1"/>
                <w:szCs w:val="1"/>
                <w:color w:val="auto"/>
              </w:rPr>
            </w:pPr>
          </w:p>
        </w:tc>
      </w:tr>
      <w:tr>
        <w:trPr>
          <w:trHeight w:val="206"/>
        </w:trPr>
        <w:tc>
          <w:tcPr>
            <w:tcW w:w="43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based compensation</w:t>
            </w:r>
          </w:p>
        </w:tc>
        <w:tc>
          <w:tcPr>
            <w:tcW w:w="1100" w:type="dxa"/>
            <w:vAlign w:val="bottom"/>
            <w:vMerge w:val="continue"/>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20" w:type="dxa"/>
            <w:vAlign w:val="bottom"/>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80" w:type="dxa"/>
            <w:vAlign w:val="bottom"/>
            <w:vMerge w:val="continue"/>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6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4360" w:type="dxa"/>
            <w:vAlign w:val="bottom"/>
          </w:tcPr>
          <w:p>
            <w:pPr>
              <w:ind w:left="220"/>
              <w:spacing w:after="0"/>
              <w:rPr>
                <w:sz w:val="20"/>
                <w:szCs w:val="20"/>
                <w:color w:val="auto"/>
              </w:rPr>
            </w:pPr>
            <w:r>
              <w:rPr>
                <w:rFonts w:ascii="Arial" w:cs="Arial" w:eastAsia="Arial" w:hAnsi="Arial"/>
                <w:sz w:val="16"/>
                <w:szCs w:val="16"/>
                <w:color w:val="auto"/>
              </w:rPr>
              <w:t>Contribution of services</w:t>
            </w: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47</w:t>
            </w:r>
          </w:p>
        </w:tc>
        <w:tc>
          <w:tcPr>
            <w:tcW w:w="5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47</w:t>
            </w:r>
          </w:p>
        </w:tc>
        <w:tc>
          <w:tcPr>
            <w:tcW w:w="0" w:type="dxa"/>
            <w:vAlign w:val="bottom"/>
          </w:tcPr>
          <w:p>
            <w:pPr>
              <w:spacing w:after="0"/>
              <w:rPr>
                <w:sz w:val="1"/>
                <w:szCs w:val="1"/>
                <w:color w:val="auto"/>
              </w:rPr>
            </w:pPr>
          </w:p>
        </w:tc>
      </w:tr>
      <w:tr>
        <w:trPr>
          <w:trHeight w:val="163"/>
        </w:trPr>
        <w:tc>
          <w:tcPr>
            <w:tcW w:w="4360" w:type="dxa"/>
            <w:vAlign w:val="bottom"/>
            <w:shd w:val="clear" w:color="auto" w:fill="CCEEFF"/>
          </w:tcPr>
          <w:p>
            <w:pPr>
              <w:ind w:left="220"/>
              <w:spacing w:after="0" w:line="163" w:lineRule="exact"/>
              <w:rPr>
                <w:sz w:val="20"/>
                <w:szCs w:val="20"/>
                <w:color w:val="auto"/>
              </w:rPr>
            </w:pPr>
            <w:r>
              <w:rPr>
                <w:rFonts w:ascii="Arial" w:cs="Arial" w:eastAsia="Arial" w:hAnsi="Arial"/>
                <w:sz w:val="16"/>
                <w:szCs w:val="16"/>
                <w:color w:val="auto"/>
                <w:w w:val="95"/>
              </w:rPr>
              <w:t>Recognition of stock-based compensation of employee stock</w:t>
            </w:r>
          </w:p>
        </w:tc>
        <w:tc>
          <w:tcPr>
            <w:tcW w:w="11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4"/>
                <w:szCs w:val="14"/>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4"/>
                <w:szCs w:val="14"/>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99</w:t>
            </w:r>
          </w:p>
        </w:tc>
        <w:tc>
          <w:tcPr>
            <w:tcW w:w="56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99</w:t>
            </w:r>
          </w:p>
        </w:tc>
        <w:tc>
          <w:tcPr>
            <w:tcW w:w="0" w:type="dxa"/>
            <w:vAlign w:val="bottom"/>
          </w:tcPr>
          <w:p>
            <w:pPr>
              <w:spacing w:after="0"/>
              <w:rPr>
                <w:sz w:val="1"/>
                <w:szCs w:val="1"/>
                <w:color w:val="auto"/>
              </w:rPr>
            </w:pPr>
          </w:p>
        </w:tc>
      </w:tr>
      <w:tr>
        <w:trPr>
          <w:trHeight w:val="206"/>
        </w:trPr>
        <w:tc>
          <w:tcPr>
            <w:tcW w:w="43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purchase plan</w:t>
            </w:r>
          </w:p>
        </w:tc>
        <w:tc>
          <w:tcPr>
            <w:tcW w:w="1100" w:type="dxa"/>
            <w:vAlign w:val="bottom"/>
            <w:vMerge w:val="continue"/>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20" w:type="dxa"/>
            <w:vAlign w:val="bottom"/>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80" w:type="dxa"/>
            <w:vAlign w:val="bottom"/>
            <w:vMerge w:val="continue"/>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6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60"/>
        </w:trPr>
        <w:tc>
          <w:tcPr>
            <w:tcW w:w="4360" w:type="dxa"/>
            <w:vAlign w:val="bottom"/>
          </w:tcPr>
          <w:p>
            <w:pPr>
              <w:ind w:left="220"/>
              <w:spacing w:after="0" w:line="160" w:lineRule="exact"/>
              <w:rPr>
                <w:sz w:val="20"/>
                <w:szCs w:val="20"/>
                <w:color w:val="auto"/>
              </w:rPr>
            </w:pPr>
            <w:r>
              <w:rPr>
                <w:rFonts w:ascii="Arial" w:cs="Arial" w:eastAsia="Arial" w:hAnsi="Arial"/>
                <w:sz w:val="16"/>
                <w:szCs w:val="16"/>
                <w:color w:val="auto"/>
                <w:w w:val="96"/>
              </w:rPr>
              <w:t>Common stock issued in connection with conversion of 2013</w:t>
            </w:r>
          </w:p>
        </w:tc>
        <w:tc>
          <w:tcPr>
            <w:tcW w:w="1100" w:type="dxa"/>
            <w:vAlign w:val="bottom"/>
            <w:vMerge w:val="restart"/>
          </w:tcPr>
          <w:p>
            <w:pPr>
              <w:jc w:val="right"/>
              <w:spacing w:after="0"/>
              <w:rPr>
                <w:sz w:val="20"/>
                <w:szCs w:val="20"/>
                <w:color w:val="auto"/>
              </w:rPr>
            </w:pPr>
            <w:r>
              <w:rPr>
                <w:rFonts w:ascii="Arial" w:cs="Arial" w:eastAsia="Arial" w:hAnsi="Arial"/>
                <w:sz w:val="16"/>
                <w:szCs w:val="16"/>
                <w:color w:val="auto"/>
              </w:rPr>
              <w:t>51</w:t>
            </w:r>
          </w:p>
        </w:tc>
        <w:tc>
          <w:tcPr>
            <w:tcW w:w="160" w:type="dxa"/>
            <w:vAlign w:val="bottom"/>
          </w:tcPr>
          <w:p>
            <w:pPr>
              <w:spacing w:after="0"/>
              <w:rPr>
                <w:sz w:val="13"/>
                <w:szCs w:val="13"/>
                <w:color w:val="auto"/>
              </w:rPr>
            </w:pPr>
          </w:p>
        </w:tc>
        <w:tc>
          <w:tcPr>
            <w:tcW w:w="82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980" w:type="dxa"/>
            <w:vAlign w:val="bottom"/>
            <w:vMerge w:val="restart"/>
          </w:tcPr>
          <w:p>
            <w:pPr>
              <w:jc w:val="right"/>
              <w:spacing w:after="0"/>
              <w:rPr>
                <w:sz w:val="20"/>
                <w:szCs w:val="20"/>
                <w:color w:val="auto"/>
              </w:rPr>
            </w:pPr>
            <w:r>
              <w:rPr>
                <w:rFonts w:ascii="Arial" w:cs="Arial" w:eastAsia="Arial" w:hAnsi="Arial"/>
                <w:sz w:val="16"/>
                <w:szCs w:val="16"/>
                <w:color w:val="auto"/>
              </w:rPr>
              <w:t>15</w:t>
            </w:r>
          </w:p>
        </w:tc>
        <w:tc>
          <w:tcPr>
            <w:tcW w:w="560" w:type="dxa"/>
            <w:vAlign w:val="bottom"/>
          </w:tcPr>
          <w:p>
            <w:pPr>
              <w:spacing w:after="0"/>
              <w:rPr>
                <w:sz w:val="13"/>
                <w:szCs w:val="13"/>
                <w:color w:val="auto"/>
              </w:rPr>
            </w:pPr>
          </w:p>
        </w:tc>
        <w:tc>
          <w:tcPr>
            <w:tcW w:w="9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3"/>
                <w:szCs w:val="13"/>
                <w:color w:val="auto"/>
              </w:rPr>
            </w:pPr>
          </w:p>
        </w:tc>
        <w:tc>
          <w:tcPr>
            <w:tcW w:w="10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3"/>
                <w:szCs w:val="13"/>
                <w:color w:val="auto"/>
              </w:rPr>
            </w:pPr>
          </w:p>
        </w:tc>
        <w:tc>
          <w:tcPr>
            <w:tcW w:w="760" w:type="dxa"/>
            <w:vAlign w:val="bottom"/>
            <w:vMerge w:val="restart"/>
          </w:tcPr>
          <w:p>
            <w:pPr>
              <w:jc w:val="right"/>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203"/>
        </w:trPr>
        <w:tc>
          <w:tcPr>
            <w:tcW w:w="4360" w:type="dxa"/>
            <w:vAlign w:val="bottom"/>
          </w:tcPr>
          <w:p>
            <w:pPr>
              <w:ind w:left="220"/>
              <w:spacing w:after="0"/>
              <w:rPr>
                <w:sz w:val="20"/>
                <w:szCs w:val="20"/>
                <w:color w:val="auto"/>
              </w:rPr>
            </w:pPr>
            <w:r>
              <w:rPr>
                <w:rFonts w:ascii="Arial" w:cs="Arial" w:eastAsia="Arial" w:hAnsi="Arial"/>
                <w:sz w:val="16"/>
                <w:szCs w:val="16"/>
                <w:color w:val="auto"/>
              </w:rPr>
              <w:t>8.00% Notes</w:t>
            </w:r>
          </w:p>
        </w:tc>
        <w:tc>
          <w:tcPr>
            <w:tcW w:w="110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vMerge w:val="continue"/>
          </w:tcPr>
          <w:p>
            <w:pPr>
              <w:spacing w:after="0"/>
              <w:rPr>
                <w:sz w:val="17"/>
                <w:szCs w:val="17"/>
                <w:color w:val="auto"/>
              </w:rPr>
            </w:pPr>
          </w:p>
        </w:tc>
        <w:tc>
          <w:tcPr>
            <w:tcW w:w="560" w:type="dxa"/>
            <w:vAlign w:val="bottom"/>
          </w:tcPr>
          <w:p>
            <w:pPr>
              <w:spacing w:after="0"/>
              <w:rPr>
                <w:sz w:val="17"/>
                <w:szCs w:val="17"/>
                <w:color w:val="auto"/>
              </w:rPr>
            </w:pPr>
          </w:p>
        </w:tc>
        <w:tc>
          <w:tcPr>
            <w:tcW w:w="90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43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Other comprehensive loss</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w:t>
            </w:r>
          </w:p>
        </w:tc>
        <w:tc>
          <w:tcPr>
            <w:tcW w:w="0" w:type="dxa"/>
            <w:vAlign w:val="bottom"/>
          </w:tcPr>
          <w:p>
            <w:pPr>
              <w:spacing w:after="0"/>
              <w:rPr>
                <w:sz w:val="1"/>
                <w:szCs w:val="1"/>
                <w:color w:val="auto"/>
              </w:rPr>
            </w:pPr>
          </w:p>
        </w:tc>
      </w:tr>
      <w:tr>
        <w:trPr>
          <w:trHeight w:val="206"/>
        </w:trPr>
        <w:tc>
          <w:tcPr>
            <w:tcW w:w="4360" w:type="dxa"/>
            <w:vAlign w:val="bottom"/>
            <w:tcBorders>
              <w:bottom w:val="single" w:sz="8" w:color="CCEEFF"/>
            </w:tcBorders>
          </w:tcPr>
          <w:p>
            <w:pPr>
              <w:ind w:left="220"/>
              <w:spacing w:after="0"/>
              <w:rPr>
                <w:sz w:val="20"/>
                <w:szCs w:val="20"/>
                <w:color w:val="auto"/>
              </w:rPr>
            </w:pPr>
            <w:r>
              <w:rPr>
                <w:rFonts w:ascii="Arial" w:cs="Arial" w:eastAsia="Arial" w:hAnsi="Arial"/>
                <w:sz w:val="16"/>
                <w:szCs w:val="16"/>
                <w:color w:val="auto"/>
              </w:rPr>
              <w:t>Net loss</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5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(24,946)</w:t>
            </w:r>
          </w:p>
        </w:tc>
        <w:tc>
          <w:tcPr>
            <w:tcW w:w="2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(24,946)</w:t>
            </w:r>
          </w:p>
        </w:tc>
        <w:tc>
          <w:tcPr>
            <w:tcW w:w="0" w:type="dxa"/>
            <w:vAlign w:val="bottom"/>
          </w:tcPr>
          <w:p>
            <w:pPr>
              <w:spacing w:after="0"/>
              <w:rPr>
                <w:sz w:val="1"/>
                <w:szCs w:val="1"/>
                <w:color w:val="auto"/>
              </w:rPr>
            </w:pPr>
          </w:p>
        </w:tc>
      </w:tr>
      <w:tr>
        <w:trPr>
          <w:trHeight w:val="202"/>
        </w:trPr>
        <w:tc>
          <w:tcPr>
            <w:tcW w:w="4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Balances – September 30, 2020</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1,670,355</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167</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2,094,983</w:t>
            </w:r>
          </w:p>
        </w:tc>
        <w:tc>
          <w:tcPr>
            <w:tcW w:w="56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395</w:t>
            </w:r>
          </w:p>
        </w:tc>
        <w:tc>
          <w:tcPr>
            <w:tcW w:w="22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(1,648,990)</w:t>
            </w:r>
          </w:p>
        </w:tc>
        <w:tc>
          <w:tcPr>
            <w:tcW w:w="200" w:type="dxa"/>
            <w:vAlign w:val="bottom"/>
            <w:tcBorders>
              <w:bottom w:val="single" w:sz="8" w:color="auto"/>
            </w:tcBorders>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446,555</w:t>
            </w:r>
          </w:p>
        </w:tc>
        <w:tc>
          <w:tcPr>
            <w:tcW w:w="0" w:type="dxa"/>
            <w:vAlign w:val="bottom"/>
          </w:tcPr>
          <w:p>
            <w:pPr>
              <w:spacing w:after="0"/>
              <w:rPr>
                <w:sz w:val="1"/>
                <w:szCs w:val="1"/>
                <w:color w:val="auto"/>
              </w:rPr>
            </w:pPr>
          </w:p>
        </w:tc>
      </w:tr>
    </w:tbl>
    <w:p>
      <w:pPr>
        <w:spacing w:after="0" w:line="30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See accompanying notes to unaudited interim condensed consolidated financial statements.</w:t>
      </w:r>
    </w:p>
    <w:p>
      <w:pPr>
        <w:spacing w:after="0" w:line="200" w:lineRule="exact"/>
        <w:rPr>
          <w:sz w:val="20"/>
          <w:szCs w:val="20"/>
          <w:color w:val="auto"/>
        </w:rPr>
      </w:pP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83" w:right="339" w:bottom="1440" w:gutter="0" w:footer="0" w:header="0"/>
        </w:sectPr>
      </w:pPr>
    </w:p>
    <w:bookmarkStart w:id="6" w:name="page7"/>
    <w:bookmarkEnd w:id="6"/>
    <w:p>
      <w:pPr>
        <w:jc w:val="center"/>
        <w:ind w:right="59"/>
        <w:spacing w:after="0"/>
        <w:rPr>
          <w:sz w:val="20"/>
          <w:szCs w:val="20"/>
          <w:color w:val="auto"/>
        </w:rPr>
      </w:pPr>
      <w:r>
        <w:rPr>
          <w:rFonts w:ascii="Arial" w:cs="Arial" w:eastAsia="Arial" w:hAnsi="Arial"/>
          <w:sz w:val="16"/>
          <w:szCs w:val="16"/>
          <w:b w:val="1"/>
          <w:bCs w:val="1"/>
          <w:color w:val="auto"/>
        </w:rPr>
        <w:t>GLOBALSTAR, INC.</w:t>
      </w:r>
    </w:p>
    <w:p>
      <w:pPr>
        <w:spacing w:after="0" w:line="51" w:lineRule="exact"/>
        <w:rPr>
          <w:sz w:val="20"/>
          <w:szCs w:val="20"/>
          <w:color w:val="auto"/>
        </w:rPr>
      </w:pPr>
    </w:p>
    <w:p>
      <w:pPr>
        <w:jc w:val="center"/>
        <w:ind w:right="19"/>
        <w:spacing w:after="0"/>
        <w:rPr>
          <w:sz w:val="20"/>
          <w:szCs w:val="20"/>
          <w:color w:val="auto"/>
        </w:rPr>
      </w:pPr>
      <w:r>
        <w:rPr>
          <w:rFonts w:ascii="Arial" w:cs="Arial" w:eastAsia="Arial" w:hAnsi="Arial"/>
          <w:sz w:val="15"/>
          <w:szCs w:val="15"/>
          <w:b w:val="1"/>
          <w:bCs w:val="1"/>
          <w:color w:val="auto"/>
        </w:rPr>
        <w:t>CONDENSED CONSOLIDATED STATEMENTS OF CASH FLOWS</w:t>
      </w:r>
    </w:p>
    <w:p>
      <w:pPr>
        <w:spacing w:after="0" w:line="63"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(In thousands)</w:t>
      </w:r>
    </w:p>
    <w:p>
      <w:pPr>
        <w:spacing w:after="0" w:line="51"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(Unaudited)</w:t>
      </w:r>
    </w:p>
    <w:p>
      <w:pPr>
        <w:sectPr>
          <w:pgSz w:w="11900" w:h="16838" w:orient="portrait"/>
          <w:cols w:equalWidth="0" w:num="1">
            <w:col w:w="9019"/>
          </w:cols>
          <w:pgMar w:left="1440" w:top="923" w:right="1440"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16"/>
        </w:trPr>
        <w:tc>
          <w:tcPr>
            <w:tcW w:w="792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3100" w:type="dxa"/>
            <w:vAlign w:val="bottom"/>
            <w:tcBorders>
              <w:bottom w:val="single" w:sz="8" w:color="auto"/>
            </w:tcBorders>
            <w:gridSpan w:val="4"/>
          </w:tcPr>
          <w:p>
            <w:pPr>
              <w:jc w:val="right"/>
              <w:ind w:right="857"/>
              <w:spacing w:after="0"/>
              <w:rPr>
                <w:sz w:val="20"/>
                <w:szCs w:val="20"/>
                <w:color w:val="auto"/>
              </w:rPr>
            </w:pPr>
            <w:r>
              <w:rPr>
                <w:rFonts w:ascii="Arial" w:cs="Arial" w:eastAsia="Arial" w:hAnsi="Arial"/>
                <w:sz w:val="17"/>
                <w:szCs w:val="17"/>
                <w:b w:val="1"/>
                <w:bCs w:val="1"/>
                <w:color w:val="auto"/>
              </w:rPr>
              <w:t>Nine Months Ended</w:t>
            </w:r>
          </w:p>
        </w:tc>
      </w:tr>
      <w:tr>
        <w:trPr>
          <w:trHeight w:val="152"/>
        </w:trPr>
        <w:tc>
          <w:tcPr>
            <w:tcW w:w="79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00" w:type="dxa"/>
            <w:vAlign w:val="bottom"/>
            <w:gridSpan w:val="2"/>
          </w:tcPr>
          <w:p>
            <w:pPr>
              <w:ind w:left="100"/>
              <w:spacing w:after="0" w:line="152" w:lineRule="exact"/>
              <w:rPr>
                <w:sz w:val="20"/>
                <w:szCs w:val="20"/>
                <w:color w:val="auto"/>
              </w:rPr>
            </w:pPr>
            <w:r>
              <w:rPr>
                <w:rFonts w:ascii="Arial" w:cs="Arial" w:eastAsia="Arial" w:hAnsi="Arial"/>
                <w:sz w:val="17"/>
                <w:szCs w:val="17"/>
                <w:b w:val="1"/>
                <w:bCs w:val="1"/>
                <w:color w:val="auto"/>
              </w:rPr>
              <w:t>September 30,</w:t>
            </w:r>
          </w:p>
        </w:tc>
        <w:tc>
          <w:tcPr>
            <w:tcW w:w="200" w:type="dxa"/>
            <w:vAlign w:val="bottom"/>
          </w:tcPr>
          <w:p>
            <w:pPr>
              <w:spacing w:after="0"/>
              <w:rPr>
                <w:sz w:val="13"/>
                <w:szCs w:val="13"/>
                <w:color w:val="auto"/>
              </w:rPr>
            </w:pPr>
          </w:p>
        </w:tc>
        <w:tc>
          <w:tcPr>
            <w:tcW w:w="1400" w:type="dxa"/>
            <w:vAlign w:val="bottom"/>
          </w:tcPr>
          <w:p>
            <w:pPr>
              <w:jc w:val="right"/>
              <w:ind w:right="217"/>
              <w:spacing w:after="0" w:line="152" w:lineRule="exact"/>
              <w:rPr>
                <w:sz w:val="20"/>
                <w:szCs w:val="20"/>
                <w:color w:val="auto"/>
              </w:rPr>
            </w:pPr>
            <w:r>
              <w:rPr>
                <w:rFonts w:ascii="Arial" w:cs="Arial" w:eastAsia="Arial" w:hAnsi="Arial"/>
                <w:sz w:val="17"/>
                <w:szCs w:val="17"/>
                <w:b w:val="1"/>
                <w:bCs w:val="1"/>
                <w:color w:val="auto"/>
                <w:w w:val="92"/>
              </w:rPr>
              <w:t>September 30,</w:t>
            </w:r>
          </w:p>
        </w:tc>
      </w:tr>
      <w:tr>
        <w:trPr>
          <w:trHeight w:val="209"/>
        </w:trPr>
        <w:tc>
          <w:tcPr>
            <w:tcW w:w="79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ind w:right="537"/>
              <w:spacing w:after="0"/>
              <w:rPr>
                <w:sz w:val="20"/>
                <w:szCs w:val="20"/>
                <w:color w:val="auto"/>
              </w:rPr>
            </w:pPr>
            <w:r>
              <w:rPr>
                <w:rFonts w:ascii="Arial" w:cs="Arial" w:eastAsia="Arial" w:hAnsi="Arial"/>
                <w:sz w:val="17"/>
                <w:szCs w:val="17"/>
                <w:b w:val="1"/>
                <w:bCs w:val="1"/>
                <w:color w:val="auto"/>
              </w:rPr>
              <w:t>2021</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ind w:right="557"/>
              <w:spacing w:after="0"/>
              <w:rPr>
                <w:sz w:val="20"/>
                <w:szCs w:val="20"/>
                <w:color w:val="auto"/>
              </w:rPr>
            </w:pPr>
            <w:r>
              <w:rPr>
                <w:rFonts w:ascii="Arial" w:cs="Arial" w:eastAsia="Arial" w:hAnsi="Arial"/>
                <w:sz w:val="17"/>
                <w:szCs w:val="17"/>
                <w:b w:val="1"/>
                <w:bCs w:val="1"/>
                <w:color w:val="auto"/>
              </w:rPr>
              <w:t>2020</w:t>
            </w:r>
          </w:p>
        </w:tc>
      </w:tr>
      <w:tr>
        <w:trPr>
          <w:trHeight w:val="202"/>
        </w:trPr>
        <w:tc>
          <w:tcPr>
            <w:tcW w:w="7920" w:type="dxa"/>
            <w:vAlign w:val="bottom"/>
            <w:shd w:val="clear" w:color="auto" w:fill="CCEEFF"/>
          </w:tcPr>
          <w:p>
            <w:pPr>
              <w:spacing w:after="0"/>
              <w:rPr>
                <w:sz w:val="20"/>
                <w:szCs w:val="20"/>
                <w:color w:val="auto"/>
              </w:rPr>
            </w:pPr>
            <w:r>
              <w:rPr>
                <w:rFonts w:ascii="Arial" w:cs="Arial" w:eastAsia="Arial" w:hAnsi="Arial"/>
                <w:sz w:val="17"/>
                <w:szCs w:val="17"/>
                <w:color w:val="auto"/>
              </w:rPr>
              <w:t>Cash flows provided by operating activities:</w:t>
            </w:r>
          </w:p>
        </w:tc>
        <w:tc>
          <w:tcPr>
            <w:tcW w:w="18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r>
      <w:tr>
        <w:trPr>
          <w:trHeight w:val="209"/>
        </w:trPr>
        <w:tc>
          <w:tcPr>
            <w:tcW w:w="7920" w:type="dxa"/>
            <w:vAlign w:val="bottom"/>
            <w:tcBorders>
              <w:bottom w:val="single" w:sz="8" w:color="CCEEFF"/>
            </w:tcBorders>
          </w:tcPr>
          <w:p>
            <w:pPr>
              <w:ind w:left="200"/>
              <w:spacing w:after="0"/>
              <w:rPr>
                <w:sz w:val="20"/>
                <w:szCs w:val="20"/>
                <w:color w:val="auto"/>
              </w:rPr>
            </w:pPr>
            <w:r>
              <w:rPr>
                <w:rFonts w:ascii="Arial" w:cs="Arial" w:eastAsia="Arial" w:hAnsi="Arial"/>
                <w:sz w:val="17"/>
                <w:szCs w:val="17"/>
                <w:color w:val="auto"/>
              </w:rPr>
              <w:t>Net loss</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(88,667)</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jc w:val="right"/>
              <w:ind w:right="17"/>
              <w:spacing w:after="0"/>
              <w:rPr>
                <w:sz w:val="20"/>
                <w:szCs w:val="20"/>
                <w:color w:val="auto"/>
              </w:rPr>
            </w:pPr>
            <w:r>
              <w:rPr>
                <w:rFonts w:ascii="Arial" w:cs="Arial" w:eastAsia="Arial" w:hAnsi="Arial"/>
                <w:sz w:val="17"/>
                <w:szCs w:val="17"/>
                <w:color w:val="auto"/>
                <w:w w:val="84"/>
              </w:rPr>
              <w:t>$</w:t>
            </w: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(87,905)</w:t>
            </w:r>
          </w:p>
        </w:tc>
      </w:tr>
      <w:tr>
        <w:trPr>
          <w:trHeight w:val="202"/>
        </w:trPr>
        <w:tc>
          <w:tcPr>
            <w:tcW w:w="7920" w:type="dxa"/>
            <w:vAlign w:val="bottom"/>
            <w:shd w:val="clear" w:color="auto" w:fill="CCEEFF"/>
          </w:tcPr>
          <w:p>
            <w:pPr>
              <w:ind w:left="200"/>
              <w:spacing w:after="0"/>
              <w:rPr>
                <w:sz w:val="20"/>
                <w:szCs w:val="20"/>
                <w:color w:val="auto"/>
              </w:rPr>
            </w:pPr>
            <w:r>
              <w:rPr>
                <w:rFonts w:ascii="Arial" w:cs="Arial" w:eastAsia="Arial" w:hAnsi="Arial"/>
                <w:sz w:val="17"/>
                <w:szCs w:val="17"/>
                <w:color w:val="auto"/>
              </w:rPr>
              <w:t>Adjustments to reconcile net loss to net cash provided by operating activities:</w:t>
            </w:r>
          </w:p>
        </w:tc>
        <w:tc>
          <w:tcPr>
            <w:tcW w:w="18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r>
      <w:tr>
        <w:trPr>
          <w:trHeight w:val="209"/>
        </w:trPr>
        <w:tc>
          <w:tcPr>
            <w:tcW w:w="7920" w:type="dxa"/>
            <w:vAlign w:val="bottom"/>
          </w:tcPr>
          <w:p>
            <w:pPr>
              <w:ind w:left="440"/>
              <w:spacing w:after="0"/>
              <w:rPr>
                <w:sz w:val="20"/>
                <w:szCs w:val="20"/>
                <w:color w:val="auto"/>
              </w:rPr>
            </w:pPr>
            <w:r>
              <w:rPr>
                <w:rFonts w:ascii="Arial" w:cs="Arial" w:eastAsia="Arial" w:hAnsi="Arial"/>
                <w:sz w:val="17"/>
                <w:szCs w:val="17"/>
                <w:color w:val="auto"/>
              </w:rPr>
              <w:t>Depreciation, amortization and accretion</w:t>
            </w:r>
          </w:p>
        </w:tc>
        <w:tc>
          <w:tcPr>
            <w:tcW w:w="1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72,031</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72,437</w:t>
            </w:r>
          </w:p>
        </w:tc>
      </w:tr>
      <w:tr>
        <w:trPr>
          <w:trHeight w:val="209"/>
        </w:trPr>
        <w:tc>
          <w:tcPr>
            <w:tcW w:w="7920" w:type="dxa"/>
            <w:vAlign w:val="bottom"/>
            <w:shd w:val="clear" w:color="auto" w:fill="CCEEFF"/>
          </w:tcPr>
          <w:p>
            <w:pPr>
              <w:ind w:left="440"/>
              <w:spacing w:after="0"/>
              <w:rPr>
                <w:sz w:val="20"/>
                <w:szCs w:val="20"/>
                <w:color w:val="auto"/>
              </w:rPr>
            </w:pPr>
            <w:r>
              <w:rPr>
                <w:rFonts w:ascii="Arial" w:cs="Arial" w:eastAsia="Arial" w:hAnsi="Arial"/>
                <w:sz w:val="17"/>
                <w:szCs w:val="17"/>
                <w:color w:val="auto"/>
              </w:rPr>
              <w:t>Change in fair value of derivatives</w:t>
            </w:r>
          </w:p>
        </w:tc>
        <w:tc>
          <w:tcPr>
            <w:tcW w:w="18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2,210</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(1,564)</w:t>
            </w:r>
          </w:p>
        </w:tc>
      </w:tr>
      <w:tr>
        <w:trPr>
          <w:trHeight w:val="209"/>
        </w:trPr>
        <w:tc>
          <w:tcPr>
            <w:tcW w:w="7920" w:type="dxa"/>
            <w:vAlign w:val="bottom"/>
          </w:tcPr>
          <w:p>
            <w:pPr>
              <w:ind w:left="440"/>
              <w:spacing w:after="0"/>
              <w:rPr>
                <w:sz w:val="20"/>
                <w:szCs w:val="20"/>
                <w:color w:val="auto"/>
              </w:rPr>
            </w:pPr>
            <w:r>
              <w:rPr>
                <w:rFonts w:ascii="Arial" w:cs="Arial" w:eastAsia="Arial" w:hAnsi="Arial"/>
                <w:sz w:val="17"/>
                <w:szCs w:val="17"/>
                <w:color w:val="auto"/>
              </w:rPr>
              <w:t>Stock-based compensation expense</w:t>
            </w:r>
          </w:p>
        </w:tc>
        <w:tc>
          <w:tcPr>
            <w:tcW w:w="1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3,044</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3,925</w:t>
            </w:r>
          </w:p>
        </w:tc>
      </w:tr>
      <w:tr>
        <w:trPr>
          <w:trHeight w:val="209"/>
        </w:trPr>
        <w:tc>
          <w:tcPr>
            <w:tcW w:w="7920" w:type="dxa"/>
            <w:vAlign w:val="bottom"/>
            <w:shd w:val="clear" w:color="auto" w:fill="CCEEFF"/>
          </w:tcPr>
          <w:p>
            <w:pPr>
              <w:ind w:left="440"/>
              <w:spacing w:after="0"/>
              <w:rPr>
                <w:sz w:val="20"/>
                <w:szCs w:val="20"/>
                <w:color w:val="auto"/>
              </w:rPr>
            </w:pPr>
            <w:r>
              <w:rPr>
                <w:rFonts w:ascii="Arial" w:cs="Arial" w:eastAsia="Arial" w:hAnsi="Arial"/>
                <w:sz w:val="17"/>
                <w:szCs w:val="17"/>
                <w:color w:val="auto"/>
              </w:rPr>
              <w:t>Amortization of deferred financing costs</w:t>
            </w:r>
          </w:p>
        </w:tc>
        <w:tc>
          <w:tcPr>
            <w:tcW w:w="18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2,341</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3,173</w:t>
            </w:r>
          </w:p>
        </w:tc>
      </w:tr>
      <w:tr>
        <w:trPr>
          <w:trHeight w:val="209"/>
        </w:trPr>
        <w:tc>
          <w:tcPr>
            <w:tcW w:w="7920" w:type="dxa"/>
            <w:vAlign w:val="bottom"/>
          </w:tcPr>
          <w:p>
            <w:pPr>
              <w:ind w:left="440"/>
              <w:spacing w:after="0"/>
              <w:rPr>
                <w:sz w:val="20"/>
                <w:szCs w:val="20"/>
                <w:color w:val="auto"/>
              </w:rPr>
            </w:pPr>
            <w:r>
              <w:rPr>
                <w:rFonts w:ascii="Arial" w:cs="Arial" w:eastAsia="Arial" w:hAnsi="Arial"/>
                <w:sz w:val="17"/>
                <w:szCs w:val="17"/>
                <w:color w:val="auto"/>
              </w:rPr>
              <w:t>Provision for credit losses</w:t>
            </w:r>
          </w:p>
        </w:tc>
        <w:tc>
          <w:tcPr>
            <w:tcW w:w="1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1,029</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1,496</w:t>
            </w:r>
          </w:p>
        </w:tc>
      </w:tr>
      <w:tr>
        <w:trPr>
          <w:trHeight w:val="209"/>
        </w:trPr>
        <w:tc>
          <w:tcPr>
            <w:tcW w:w="7920" w:type="dxa"/>
            <w:vAlign w:val="bottom"/>
            <w:shd w:val="clear" w:color="auto" w:fill="CCEEFF"/>
          </w:tcPr>
          <w:p>
            <w:pPr>
              <w:ind w:left="440"/>
              <w:spacing w:after="0"/>
              <w:rPr>
                <w:sz w:val="20"/>
                <w:szCs w:val="20"/>
                <w:color w:val="auto"/>
              </w:rPr>
            </w:pPr>
            <w:r>
              <w:rPr>
                <w:rFonts w:ascii="Arial" w:cs="Arial" w:eastAsia="Arial" w:hAnsi="Arial"/>
                <w:sz w:val="17"/>
                <w:szCs w:val="17"/>
                <w:color w:val="auto"/>
              </w:rPr>
              <w:t>Reduction in value of long-lived assets and inventory</w:t>
            </w:r>
          </w:p>
        </w:tc>
        <w:tc>
          <w:tcPr>
            <w:tcW w:w="18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1,095</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09"/>
        </w:trPr>
        <w:tc>
          <w:tcPr>
            <w:tcW w:w="7920" w:type="dxa"/>
            <w:vAlign w:val="bottom"/>
          </w:tcPr>
          <w:p>
            <w:pPr>
              <w:ind w:left="440"/>
              <w:spacing w:after="0"/>
              <w:rPr>
                <w:sz w:val="20"/>
                <w:szCs w:val="20"/>
                <w:color w:val="auto"/>
              </w:rPr>
            </w:pPr>
            <w:r>
              <w:rPr>
                <w:rFonts w:ascii="Arial" w:cs="Arial" w:eastAsia="Arial" w:hAnsi="Arial"/>
                <w:sz w:val="17"/>
                <w:szCs w:val="17"/>
                <w:color w:val="auto"/>
              </w:rPr>
              <w:t>Noncash interest and accretion expense</w:t>
            </w:r>
          </w:p>
        </w:tc>
        <w:tc>
          <w:tcPr>
            <w:tcW w:w="1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26,537</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25,694</w:t>
            </w:r>
          </w:p>
        </w:tc>
      </w:tr>
      <w:tr>
        <w:trPr>
          <w:trHeight w:val="209"/>
        </w:trPr>
        <w:tc>
          <w:tcPr>
            <w:tcW w:w="7920" w:type="dxa"/>
            <w:vAlign w:val="bottom"/>
            <w:shd w:val="clear" w:color="auto" w:fill="CCEEFF"/>
          </w:tcPr>
          <w:p>
            <w:pPr>
              <w:ind w:left="440"/>
              <w:spacing w:after="0"/>
              <w:rPr>
                <w:sz w:val="20"/>
                <w:szCs w:val="20"/>
                <w:color w:val="auto"/>
              </w:rPr>
            </w:pPr>
            <w:r>
              <w:rPr>
                <w:rFonts w:ascii="Arial" w:cs="Arial" w:eastAsia="Arial" w:hAnsi="Arial"/>
                <w:sz w:val="17"/>
                <w:szCs w:val="17"/>
                <w:color w:val="auto"/>
              </w:rPr>
              <w:t>Gain on extinguishment of debt</w:t>
            </w:r>
          </w:p>
        </w:tc>
        <w:tc>
          <w:tcPr>
            <w:tcW w:w="18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(1,835)</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09"/>
        </w:trPr>
        <w:tc>
          <w:tcPr>
            <w:tcW w:w="7920" w:type="dxa"/>
            <w:vAlign w:val="bottom"/>
          </w:tcPr>
          <w:p>
            <w:pPr>
              <w:ind w:left="440"/>
              <w:spacing w:after="0"/>
              <w:rPr>
                <w:sz w:val="20"/>
                <w:szCs w:val="20"/>
                <w:color w:val="auto"/>
              </w:rPr>
            </w:pPr>
            <w:r>
              <w:rPr>
                <w:rFonts w:ascii="Arial" w:cs="Arial" w:eastAsia="Arial" w:hAnsi="Arial"/>
                <w:sz w:val="17"/>
                <w:szCs w:val="17"/>
                <w:color w:val="auto"/>
              </w:rPr>
              <w:t>Unrealized foreign currency loss</w:t>
            </w:r>
          </w:p>
        </w:tc>
        <w:tc>
          <w:tcPr>
            <w:tcW w:w="1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4,639</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7,850</w:t>
            </w:r>
          </w:p>
        </w:tc>
      </w:tr>
      <w:tr>
        <w:trPr>
          <w:trHeight w:val="209"/>
        </w:trPr>
        <w:tc>
          <w:tcPr>
            <w:tcW w:w="7920" w:type="dxa"/>
            <w:vAlign w:val="bottom"/>
            <w:shd w:val="clear" w:color="auto" w:fill="CCEEFF"/>
          </w:tcPr>
          <w:p>
            <w:pPr>
              <w:ind w:left="440"/>
              <w:spacing w:after="0"/>
              <w:rPr>
                <w:sz w:val="20"/>
                <w:szCs w:val="20"/>
                <w:color w:val="auto"/>
              </w:rPr>
            </w:pPr>
            <w:r>
              <w:rPr>
                <w:rFonts w:ascii="Arial" w:cs="Arial" w:eastAsia="Arial" w:hAnsi="Arial"/>
                <w:sz w:val="17"/>
                <w:szCs w:val="17"/>
                <w:color w:val="auto"/>
              </w:rPr>
              <w:t>Noncash reversal of tariff accrual</w:t>
            </w:r>
          </w:p>
        </w:tc>
        <w:tc>
          <w:tcPr>
            <w:tcW w:w="18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(912)</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09"/>
        </w:trPr>
        <w:tc>
          <w:tcPr>
            <w:tcW w:w="7920" w:type="dxa"/>
            <w:vAlign w:val="bottom"/>
          </w:tcPr>
          <w:p>
            <w:pPr>
              <w:ind w:left="440"/>
              <w:spacing w:after="0"/>
              <w:rPr>
                <w:sz w:val="20"/>
                <w:szCs w:val="20"/>
                <w:color w:val="auto"/>
              </w:rPr>
            </w:pPr>
            <w:r>
              <w:rPr>
                <w:rFonts w:ascii="Arial" w:cs="Arial" w:eastAsia="Arial" w:hAnsi="Arial"/>
                <w:sz w:val="17"/>
                <w:szCs w:val="17"/>
                <w:color w:val="auto"/>
              </w:rPr>
              <w:t>Other, net</w:t>
            </w:r>
          </w:p>
        </w:tc>
        <w:tc>
          <w:tcPr>
            <w:tcW w:w="1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(625)</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(104)</w:t>
            </w:r>
          </w:p>
        </w:tc>
      </w:tr>
      <w:tr>
        <w:trPr>
          <w:trHeight w:val="209"/>
        </w:trPr>
        <w:tc>
          <w:tcPr>
            <w:tcW w:w="7920" w:type="dxa"/>
            <w:vAlign w:val="bottom"/>
            <w:shd w:val="clear" w:color="auto" w:fill="CCEEFF"/>
          </w:tcPr>
          <w:p>
            <w:pPr>
              <w:ind w:left="440"/>
              <w:spacing w:after="0"/>
              <w:rPr>
                <w:sz w:val="20"/>
                <w:szCs w:val="20"/>
                <w:color w:val="auto"/>
              </w:rPr>
            </w:pPr>
            <w:r>
              <w:rPr>
                <w:rFonts w:ascii="Arial" w:cs="Arial" w:eastAsia="Arial" w:hAnsi="Arial"/>
                <w:sz w:val="17"/>
                <w:szCs w:val="17"/>
                <w:color w:val="auto"/>
              </w:rPr>
              <w:t>Changes in operating assets and liabilities:</w:t>
            </w:r>
          </w:p>
        </w:tc>
        <w:tc>
          <w:tcPr>
            <w:tcW w:w="18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r>
      <w:tr>
        <w:trPr>
          <w:trHeight w:val="209"/>
        </w:trPr>
        <w:tc>
          <w:tcPr>
            <w:tcW w:w="7920" w:type="dxa"/>
            <w:vAlign w:val="bottom"/>
          </w:tcPr>
          <w:p>
            <w:pPr>
              <w:ind w:left="620"/>
              <w:spacing w:after="0"/>
              <w:rPr>
                <w:sz w:val="20"/>
                <w:szCs w:val="20"/>
                <w:color w:val="auto"/>
              </w:rPr>
            </w:pPr>
            <w:r>
              <w:rPr>
                <w:rFonts w:ascii="Arial" w:cs="Arial" w:eastAsia="Arial" w:hAnsi="Arial"/>
                <w:sz w:val="17"/>
                <w:szCs w:val="17"/>
                <w:color w:val="auto"/>
              </w:rPr>
              <w:t>Accounts receivable</w:t>
            </w:r>
          </w:p>
        </w:tc>
        <w:tc>
          <w:tcPr>
            <w:tcW w:w="1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(7,013)</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(3,185)</w:t>
            </w:r>
          </w:p>
        </w:tc>
      </w:tr>
      <w:tr>
        <w:trPr>
          <w:trHeight w:val="209"/>
        </w:trPr>
        <w:tc>
          <w:tcPr>
            <w:tcW w:w="7920" w:type="dxa"/>
            <w:vAlign w:val="bottom"/>
            <w:shd w:val="clear" w:color="auto" w:fill="CCEEFF"/>
          </w:tcPr>
          <w:p>
            <w:pPr>
              <w:ind w:left="620"/>
              <w:spacing w:after="0"/>
              <w:rPr>
                <w:sz w:val="20"/>
                <w:szCs w:val="20"/>
                <w:color w:val="auto"/>
              </w:rPr>
            </w:pPr>
            <w:r>
              <w:rPr>
                <w:rFonts w:ascii="Arial" w:cs="Arial" w:eastAsia="Arial" w:hAnsi="Arial"/>
                <w:sz w:val="17"/>
                <w:szCs w:val="17"/>
                <w:color w:val="auto"/>
              </w:rPr>
              <w:t>Inventory</w:t>
            </w:r>
          </w:p>
        </w:tc>
        <w:tc>
          <w:tcPr>
            <w:tcW w:w="18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276</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880</w:t>
            </w:r>
          </w:p>
        </w:tc>
      </w:tr>
      <w:tr>
        <w:trPr>
          <w:trHeight w:val="209"/>
        </w:trPr>
        <w:tc>
          <w:tcPr>
            <w:tcW w:w="7920" w:type="dxa"/>
            <w:vAlign w:val="bottom"/>
          </w:tcPr>
          <w:p>
            <w:pPr>
              <w:ind w:left="620"/>
              <w:spacing w:after="0"/>
              <w:rPr>
                <w:sz w:val="20"/>
                <w:szCs w:val="20"/>
                <w:color w:val="auto"/>
              </w:rPr>
            </w:pPr>
            <w:r>
              <w:rPr>
                <w:rFonts w:ascii="Arial" w:cs="Arial" w:eastAsia="Arial" w:hAnsi="Arial"/>
                <w:sz w:val="17"/>
                <w:szCs w:val="17"/>
                <w:color w:val="auto"/>
              </w:rPr>
              <w:t>Prepaid expenses and other current assets</w:t>
            </w:r>
          </w:p>
        </w:tc>
        <w:tc>
          <w:tcPr>
            <w:tcW w:w="1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(1,595)</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3,161</w:t>
            </w:r>
          </w:p>
        </w:tc>
      </w:tr>
      <w:tr>
        <w:trPr>
          <w:trHeight w:val="209"/>
        </w:trPr>
        <w:tc>
          <w:tcPr>
            <w:tcW w:w="7920" w:type="dxa"/>
            <w:vAlign w:val="bottom"/>
            <w:shd w:val="clear" w:color="auto" w:fill="CCEEFF"/>
          </w:tcPr>
          <w:p>
            <w:pPr>
              <w:ind w:left="620"/>
              <w:spacing w:after="0"/>
              <w:rPr>
                <w:sz w:val="20"/>
                <w:szCs w:val="20"/>
                <w:color w:val="auto"/>
              </w:rPr>
            </w:pPr>
            <w:r>
              <w:rPr>
                <w:rFonts w:ascii="Arial" w:cs="Arial" w:eastAsia="Arial" w:hAnsi="Arial"/>
                <w:sz w:val="17"/>
                <w:szCs w:val="17"/>
                <w:color w:val="auto"/>
              </w:rPr>
              <w:t>Other assets</w:t>
            </w:r>
          </w:p>
        </w:tc>
        <w:tc>
          <w:tcPr>
            <w:tcW w:w="18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(1,883)</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(514)</w:t>
            </w:r>
          </w:p>
        </w:tc>
      </w:tr>
      <w:tr>
        <w:trPr>
          <w:trHeight w:val="209"/>
        </w:trPr>
        <w:tc>
          <w:tcPr>
            <w:tcW w:w="7920" w:type="dxa"/>
            <w:vAlign w:val="bottom"/>
          </w:tcPr>
          <w:p>
            <w:pPr>
              <w:ind w:left="620"/>
              <w:spacing w:after="0"/>
              <w:rPr>
                <w:sz w:val="20"/>
                <w:szCs w:val="20"/>
                <w:color w:val="auto"/>
              </w:rPr>
            </w:pPr>
            <w:r>
              <w:rPr>
                <w:rFonts w:ascii="Arial" w:cs="Arial" w:eastAsia="Arial" w:hAnsi="Arial"/>
                <w:sz w:val="17"/>
                <w:szCs w:val="17"/>
                <w:color w:val="auto"/>
              </w:rPr>
              <w:t>Accounts payable, accrued expenses and recoupment of advance payments</w:t>
            </w:r>
          </w:p>
        </w:tc>
        <w:tc>
          <w:tcPr>
            <w:tcW w:w="1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15,197</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261</w:t>
            </w:r>
          </w:p>
        </w:tc>
      </w:tr>
      <w:tr>
        <w:trPr>
          <w:trHeight w:val="209"/>
        </w:trPr>
        <w:tc>
          <w:tcPr>
            <w:tcW w:w="7920" w:type="dxa"/>
            <w:vAlign w:val="bottom"/>
            <w:shd w:val="clear" w:color="auto" w:fill="CCEEFF"/>
          </w:tcPr>
          <w:p>
            <w:pPr>
              <w:ind w:left="620"/>
              <w:spacing w:after="0"/>
              <w:rPr>
                <w:sz w:val="20"/>
                <w:szCs w:val="20"/>
                <w:color w:val="auto"/>
              </w:rPr>
            </w:pPr>
            <w:r>
              <w:rPr>
                <w:rFonts w:ascii="Arial" w:cs="Arial" w:eastAsia="Arial" w:hAnsi="Arial"/>
                <w:sz w:val="17"/>
                <w:szCs w:val="17"/>
                <w:color w:val="auto"/>
              </w:rPr>
              <w:t>Payables to affiliates</w:t>
            </w:r>
          </w:p>
        </w:tc>
        <w:tc>
          <w:tcPr>
            <w:tcW w:w="18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(309)</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210</w:t>
            </w:r>
          </w:p>
        </w:tc>
      </w:tr>
      <w:tr>
        <w:trPr>
          <w:trHeight w:val="209"/>
        </w:trPr>
        <w:tc>
          <w:tcPr>
            <w:tcW w:w="7920" w:type="dxa"/>
            <w:vAlign w:val="bottom"/>
          </w:tcPr>
          <w:p>
            <w:pPr>
              <w:ind w:left="620"/>
              <w:spacing w:after="0"/>
              <w:rPr>
                <w:sz w:val="20"/>
                <w:szCs w:val="20"/>
                <w:color w:val="auto"/>
              </w:rPr>
            </w:pPr>
            <w:r>
              <w:rPr>
                <w:rFonts w:ascii="Arial" w:cs="Arial" w:eastAsia="Arial" w:hAnsi="Arial"/>
                <w:sz w:val="17"/>
                <w:szCs w:val="17"/>
                <w:color w:val="auto"/>
              </w:rPr>
              <w:t>Other non-current liabilities</w:t>
            </w:r>
          </w:p>
        </w:tc>
        <w:tc>
          <w:tcPr>
            <w:tcW w:w="1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(259)</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(173)</w:t>
            </w:r>
          </w:p>
        </w:tc>
      </w:tr>
      <w:tr>
        <w:trPr>
          <w:trHeight w:val="209"/>
        </w:trPr>
        <w:tc>
          <w:tcPr>
            <w:tcW w:w="7920" w:type="dxa"/>
            <w:vAlign w:val="bottom"/>
            <w:shd w:val="clear" w:color="auto" w:fill="CCEEFF"/>
          </w:tcPr>
          <w:p>
            <w:pPr>
              <w:ind w:left="620"/>
              <w:spacing w:after="0"/>
              <w:rPr>
                <w:sz w:val="20"/>
                <w:szCs w:val="20"/>
                <w:color w:val="auto"/>
              </w:rPr>
            </w:pPr>
            <w:r>
              <w:rPr>
                <w:rFonts w:ascii="Arial" w:cs="Arial" w:eastAsia="Arial" w:hAnsi="Arial"/>
                <w:sz w:val="17"/>
                <w:szCs w:val="17"/>
                <w:color w:val="auto"/>
              </w:rPr>
              <w:t>Deferred revenue</w:t>
            </w:r>
          </w:p>
        </w:tc>
        <w:tc>
          <w:tcPr>
            <w:tcW w:w="180" w:type="dxa"/>
            <w:vAlign w:val="bottom"/>
            <w:tcBorders>
              <w:bottom w:val="single" w:sz="8" w:color="auto"/>
            </w:tcBorders>
            <w:shd w:val="clear" w:color="auto" w:fill="CCEEFF"/>
          </w:tcPr>
          <w:p>
            <w:pPr>
              <w:spacing w:after="0"/>
              <w:rPr>
                <w:sz w:val="18"/>
                <w:szCs w:val="18"/>
                <w:color w:val="auto"/>
              </w:rPr>
            </w:pP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81,865</w:t>
            </w:r>
          </w:p>
        </w:tc>
        <w:tc>
          <w:tcPr>
            <w:tcW w:w="1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(1,955)</w:t>
            </w:r>
          </w:p>
        </w:tc>
      </w:tr>
      <w:tr>
        <w:trPr>
          <w:trHeight w:val="202"/>
        </w:trPr>
        <w:tc>
          <w:tcPr>
            <w:tcW w:w="7920" w:type="dxa"/>
            <w:vAlign w:val="bottom"/>
            <w:tcBorders>
              <w:bottom w:val="single" w:sz="8" w:color="CCEEFF"/>
            </w:tcBorders>
          </w:tcPr>
          <w:p>
            <w:pPr>
              <w:ind w:left="820"/>
              <w:spacing w:after="0"/>
              <w:rPr>
                <w:sz w:val="20"/>
                <w:szCs w:val="20"/>
                <w:color w:val="auto"/>
              </w:rPr>
            </w:pPr>
            <w:r>
              <w:rPr>
                <w:rFonts w:ascii="Arial" w:cs="Arial" w:eastAsia="Arial" w:hAnsi="Arial"/>
                <w:sz w:val="17"/>
                <w:szCs w:val="17"/>
                <w:color w:val="auto"/>
              </w:rPr>
              <w:t>Net cash provided by operating activities</w:t>
            </w:r>
          </w:p>
        </w:tc>
        <w:tc>
          <w:tcPr>
            <w:tcW w:w="18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107,166</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23,687</w:t>
            </w:r>
          </w:p>
        </w:tc>
      </w:tr>
      <w:tr>
        <w:trPr>
          <w:trHeight w:val="202"/>
        </w:trPr>
        <w:tc>
          <w:tcPr>
            <w:tcW w:w="7920" w:type="dxa"/>
            <w:vAlign w:val="bottom"/>
            <w:shd w:val="clear" w:color="auto" w:fill="CCEEFF"/>
          </w:tcPr>
          <w:p>
            <w:pPr>
              <w:spacing w:after="0"/>
              <w:rPr>
                <w:sz w:val="20"/>
                <w:szCs w:val="20"/>
                <w:color w:val="auto"/>
              </w:rPr>
            </w:pPr>
            <w:r>
              <w:rPr>
                <w:rFonts w:ascii="Arial" w:cs="Arial" w:eastAsia="Arial" w:hAnsi="Arial"/>
                <w:sz w:val="17"/>
                <w:szCs w:val="17"/>
                <w:color w:val="auto"/>
              </w:rPr>
              <w:t>Cash flows used in investing activities:</w:t>
            </w:r>
          </w:p>
        </w:tc>
        <w:tc>
          <w:tcPr>
            <w:tcW w:w="18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r>
      <w:tr>
        <w:trPr>
          <w:trHeight w:val="209"/>
        </w:trPr>
        <w:tc>
          <w:tcPr>
            <w:tcW w:w="7920" w:type="dxa"/>
            <w:vAlign w:val="bottom"/>
          </w:tcPr>
          <w:p>
            <w:pPr>
              <w:ind w:left="200"/>
              <w:spacing w:after="0"/>
              <w:rPr>
                <w:sz w:val="20"/>
                <w:szCs w:val="20"/>
                <w:color w:val="auto"/>
              </w:rPr>
            </w:pPr>
            <w:r>
              <w:rPr>
                <w:rFonts w:ascii="Arial" w:cs="Arial" w:eastAsia="Arial" w:hAnsi="Arial"/>
                <w:sz w:val="17"/>
                <w:szCs w:val="17"/>
                <w:color w:val="auto"/>
              </w:rPr>
              <w:t>Network upgrades (including capitalized interest)</w:t>
            </w:r>
          </w:p>
        </w:tc>
        <w:tc>
          <w:tcPr>
            <w:tcW w:w="1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(24,766)</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(4,307)</w:t>
            </w:r>
          </w:p>
        </w:tc>
      </w:tr>
      <w:tr>
        <w:trPr>
          <w:trHeight w:val="209"/>
        </w:trPr>
        <w:tc>
          <w:tcPr>
            <w:tcW w:w="7920" w:type="dxa"/>
            <w:vAlign w:val="bottom"/>
            <w:shd w:val="clear" w:color="auto" w:fill="CCEEFF"/>
          </w:tcPr>
          <w:p>
            <w:pPr>
              <w:ind w:left="200"/>
              <w:spacing w:after="0"/>
              <w:rPr>
                <w:sz w:val="20"/>
                <w:szCs w:val="20"/>
                <w:color w:val="auto"/>
              </w:rPr>
            </w:pPr>
            <w:r>
              <w:rPr>
                <w:rFonts w:ascii="Arial" w:cs="Arial" w:eastAsia="Arial" w:hAnsi="Arial"/>
                <w:sz w:val="17"/>
                <w:szCs w:val="17"/>
                <w:color w:val="auto"/>
              </w:rPr>
              <w:t>Property and equipment additions</w:t>
            </w:r>
          </w:p>
        </w:tc>
        <w:tc>
          <w:tcPr>
            <w:tcW w:w="18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(4,209)</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(3,555)</w:t>
            </w:r>
          </w:p>
        </w:tc>
      </w:tr>
      <w:tr>
        <w:trPr>
          <w:trHeight w:val="209"/>
        </w:trPr>
        <w:tc>
          <w:tcPr>
            <w:tcW w:w="7920" w:type="dxa"/>
            <w:vAlign w:val="bottom"/>
          </w:tcPr>
          <w:p>
            <w:pPr>
              <w:ind w:left="200"/>
              <w:spacing w:after="0"/>
              <w:rPr>
                <w:sz w:val="20"/>
                <w:szCs w:val="20"/>
                <w:color w:val="auto"/>
              </w:rPr>
            </w:pPr>
            <w:r>
              <w:rPr>
                <w:rFonts w:ascii="Arial" w:cs="Arial" w:eastAsia="Arial" w:hAnsi="Arial"/>
                <w:sz w:val="17"/>
                <w:szCs w:val="17"/>
                <w:color w:val="auto"/>
              </w:rPr>
              <w:t>Sale of property and equipment</w:t>
            </w:r>
          </w:p>
        </w:tc>
        <w:tc>
          <w:tcPr>
            <w:tcW w:w="1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350</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09"/>
        </w:trPr>
        <w:tc>
          <w:tcPr>
            <w:tcW w:w="7920" w:type="dxa"/>
            <w:vAlign w:val="bottom"/>
            <w:shd w:val="clear" w:color="auto" w:fill="CCEEFF"/>
          </w:tcPr>
          <w:p>
            <w:pPr>
              <w:ind w:left="200"/>
              <w:spacing w:after="0"/>
              <w:rPr>
                <w:sz w:val="20"/>
                <w:szCs w:val="20"/>
                <w:color w:val="auto"/>
              </w:rPr>
            </w:pPr>
            <w:r>
              <w:rPr>
                <w:rFonts w:ascii="Arial" w:cs="Arial" w:eastAsia="Arial" w:hAnsi="Arial"/>
                <w:sz w:val="17"/>
                <w:szCs w:val="17"/>
                <w:color w:val="auto"/>
              </w:rPr>
              <w:t>Purchase of intangible assets</w:t>
            </w:r>
          </w:p>
        </w:tc>
        <w:tc>
          <w:tcPr>
            <w:tcW w:w="180" w:type="dxa"/>
            <w:vAlign w:val="bottom"/>
            <w:tcBorders>
              <w:bottom w:val="single" w:sz="8" w:color="auto"/>
            </w:tcBorders>
            <w:shd w:val="clear" w:color="auto" w:fill="CCEEFF"/>
          </w:tcPr>
          <w:p>
            <w:pPr>
              <w:spacing w:after="0"/>
              <w:rPr>
                <w:sz w:val="18"/>
                <w:szCs w:val="18"/>
                <w:color w:val="auto"/>
              </w:rPr>
            </w:pP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(1,408)</w:t>
            </w:r>
          </w:p>
        </w:tc>
        <w:tc>
          <w:tcPr>
            <w:tcW w:w="1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(1,433)</w:t>
            </w:r>
          </w:p>
        </w:tc>
      </w:tr>
      <w:tr>
        <w:trPr>
          <w:trHeight w:val="202"/>
        </w:trPr>
        <w:tc>
          <w:tcPr>
            <w:tcW w:w="7920" w:type="dxa"/>
            <w:vAlign w:val="bottom"/>
            <w:tcBorders>
              <w:bottom w:val="single" w:sz="8" w:color="CCEEFF"/>
            </w:tcBorders>
          </w:tcPr>
          <w:p>
            <w:pPr>
              <w:ind w:left="820"/>
              <w:spacing w:after="0"/>
              <w:rPr>
                <w:sz w:val="20"/>
                <w:szCs w:val="20"/>
                <w:color w:val="auto"/>
              </w:rPr>
            </w:pPr>
            <w:r>
              <w:rPr>
                <w:rFonts w:ascii="Arial" w:cs="Arial" w:eastAsia="Arial" w:hAnsi="Arial"/>
                <w:sz w:val="17"/>
                <w:szCs w:val="17"/>
                <w:color w:val="auto"/>
              </w:rPr>
              <w:t>Net cash used in investing activities</w:t>
            </w:r>
          </w:p>
        </w:tc>
        <w:tc>
          <w:tcPr>
            <w:tcW w:w="18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(30,033)</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(9,295)</w:t>
            </w:r>
          </w:p>
        </w:tc>
      </w:tr>
      <w:tr>
        <w:trPr>
          <w:trHeight w:val="202"/>
        </w:trPr>
        <w:tc>
          <w:tcPr>
            <w:tcW w:w="7920" w:type="dxa"/>
            <w:vAlign w:val="bottom"/>
            <w:shd w:val="clear" w:color="auto" w:fill="CCEEFF"/>
          </w:tcPr>
          <w:p>
            <w:pPr>
              <w:spacing w:after="0"/>
              <w:rPr>
                <w:sz w:val="20"/>
                <w:szCs w:val="20"/>
                <w:color w:val="auto"/>
              </w:rPr>
            </w:pPr>
            <w:r>
              <w:rPr>
                <w:rFonts w:ascii="Arial" w:cs="Arial" w:eastAsia="Arial" w:hAnsi="Arial"/>
                <w:sz w:val="17"/>
                <w:szCs w:val="17"/>
                <w:color w:val="auto"/>
              </w:rPr>
              <w:t>Cash flows (used in) provided by financing activities:</w:t>
            </w:r>
          </w:p>
        </w:tc>
        <w:tc>
          <w:tcPr>
            <w:tcW w:w="18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r>
      <w:tr>
        <w:trPr>
          <w:trHeight w:val="209"/>
        </w:trPr>
        <w:tc>
          <w:tcPr>
            <w:tcW w:w="7920" w:type="dxa"/>
            <w:vAlign w:val="bottom"/>
          </w:tcPr>
          <w:p>
            <w:pPr>
              <w:ind w:left="200"/>
              <w:spacing w:after="0"/>
              <w:rPr>
                <w:sz w:val="20"/>
                <w:szCs w:val="20"/>
                <w:color w:val="auto"/>
              </w:rPr>
            </w:pPr>
            <w:r>
              <w:rPr>
                <w:rFonts w:ascii="Arial" w:cs="Arial" w:eastAsia="Arial" w:hAnsi="Arial"/>
                <w:sz w:val="17"/>
                <w:szCs w:val="17"/>
                <w:color w:val="auto"/>
              </w:rPr>
              <w:t>Principal payments of the First Lien Facility Agreement</w:t>
            </w:r>
          </w:p>
        </w:tc>
        <w:tc>
          <w:tcPr>
            <w:tcW w:w="1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(126,664)</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(3,373)</w:t>
            </w:r>
          </w:p>
        </w:tc>
      </w:tr>
      <w:tr>
        <w:trPr>
          <w:trHeight w:val="209"/>
        </w:trPr>
        <w:tc>
          <w:tcPr>
            <w:tcW w:w="7920" w:type="dxa"/>
            <w:vAlign w:val="bottom"/>
            <w:shd w:val="clear" w:color="auto" w:fill="CCEEFF"/>
          </w:tcPr>
          <w:p>
            <w:pPr>
              <w:ind w:left="200"/>
              <w:spacing w:after="0"/>
              <w:rPr>
                <w:sz w:val="20"/>
                <w:szCs w:val="20"/>
                <w:color w:val="auto"/>
              </w:rPr>
            </w:pPr>
            <w:r>
              <w:rPr>
                <w:rFonts w:ascii="Arial" w:cs="Arial" w:eastAsia="Arial" w:hAnsi="Arial"/>
                <w:sz w:val="17"/>
                <w:szCs w:val="17"/>
                <w:color w:val="auto"/>
              </w:rPr>
              <w:t>Proceeds from exercise of warrants</w:t>
            </w:r>
          </w:p>
        </w:tc>
        <w:tc>
          <w:tcPr>
            <w:tcW w:w="18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43,678</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09"/>
        </w:trPr>
        <w:tc>
          <w:tcPr>
            <w:tcW w:w="7920" w:type="dxa"/>
            <w:vAlign w:val="bottom"/>
          </w:tcPr>
          <w:p>
            <w:pPr>
              <w:ind w:left="200"/>
              <w:spacing w:after="0"/>
              <w:rPr>
                <w:sz w:val="20"/>
                <w:szCs w:val="20"/>
                <w:color w:val="auto"/>
              </w:rPr>
            </w:pPr>
            <w:r>
              <w:rPr>
                <w:rFonts w:ascii="Arial" w:cs="Arial" w:eastAsia="Arial" w:hAnsi="Arial"/>
                <w:sz w:val="17"/>
                <w:szCs w:val="17"/>
                <w:color w:val="auto"/>
              </w:rPr>
              <w:t>Payments for debt issuance costs</w:t>
            </w:r>
          </w:p>
        </w:tc>
        <w:tc>
          <w:tcPr>
            <w:tcW w:w="1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(133)</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(1,074)</w:t>
            </w:r>
          </w:p>
        </w:tc>
      </w:tr>
      <w:tr>
        <w:trPr>
          <w:trHeight w:val="209"/>
        </w:trPr>
        <w:tc>
          <w:tcPr>
            <w:tcW w:w="7920" w:type="dxa"/>
            <w:vAlign w:val="bottom"/>
            <w:shd w:val="clear" w:color="auto" w:fill="CCEEFF"/>
          </w:tcPr>
          <w:p>
            <w:pPr>
              <w:ind w:left="200"/>
              <w:spacing w:after="0"/>
              <w:rPr>
                <w:sz w:val="20"/>
                <w:szCs w:val="20"/>
                <w:color w:val="auto"/>
              </w:rPr>
            </w:pPr>
            <w:r>
              <w:rPr>
                <w:rFonts w:ascii="Arial" w:cs="Arial" w:eastAsia="Arial" w:hAnsi="Arial"/>
                <w:sz w:val="17"/>
                <w:szCs w:val="17"/>
                <w:color w:val="auto"/>
              </w:rPr>
              <w:t>Proceeds from PPP Loan</w:t>
            </w:r>
          </w:p>
        </w:tc>
        <w:tc>
          <w:tcPr>
            <w:tcW w:w="18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4,973</w:t>
            </w:r>
          </w:p>
        </w:tc>
      </w:tr>
      <w:tr>
        <w:trPr>
          <w:trHeight w:val="209"/>
        </w:trPr>
        <w:tc>
          <w:tcPr>
            <w:tcW w:w="7920" w:type="dxa"/>
            <w:vAlign w:val="bottom"/>
            <w:tcBorders>
              <w:bottom w:val="single" w:sz="8" w:color="CCEEFF"/>
            </w:tcBorders>
          </w:tcPr>
          <w:p>
            <w:pPr>
              <w:ind w:left="200"/>
              <w:spacing w:after="0"/>
              <w:rPr>
                <w:sz w:val="20"/>
                <w:szCs w:val="20"/>
                <w:color w:val="auto"/>
              </w:rPr>
            </w:pPr>
            <w:r>
              <w:rPr>
                <w:rFonts w:ascii="Arial" w:cs="Arial" w:eastAsia="Arial" w:hAnsi="Arial"/>
                <w:sz w:val="17"/>
                <w:szCs w:val="17"/>
                <w:color w:val="auto"/>
              </w:rPr>
              <w:t>Proceeds from issuance of common stock and exercise of options</w:t>
            </w:r>
          </w:p>
        </w:tc>
        <w:tc>
          <w:tcPr>
            <w:tcW w:w="18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394</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346</w:t>
            </w:r>
          </w:p>
        </w:tc>
      </w:tr>
      <w:tr>
        <w:trPr>
          <w:trHeight w:val="202"/>
        </w:trPr>
        <w:tc>
          <w:tcPr>
            <w:tcW w:w="7920" w:type="dxa"/>
            <w:vAlign w:val="bottom"/>
            <w:shd w:val="clear" w:color="auto" w:fill="CCEEFF"/>
          </w:tcPr>
          <w:p>
            <w:pPr>
              <w:ind w:left="820"/>
              <w:spacing w:after="0"/>
              <w:rPr>
                <w:sz w:val="20"/>
                <w:szCs w:val="20"/>
                <w:color w:val="auto"/>
              </w:rPr>
            </w:pPr>
            <w:r>
              <w:rPr>
                <w:rFonts w:ascii="Arial" w:cs="Arial" w:eastAsia="Arial" w:hAnsi="Arial"/>
                <w:sz w:val="17"/>
                <w:szCs w:val="17"/>
                <w:color w:val="auto"/>
              </w:rPr>
              <w:t>Net cash (used in) provided by financing activities</w:t>
            </w:r>
          </w:p>
        </w:tc>
        <w:tc>
          <w:tcPr>
            <w:tcW w:w="180" w:type="dxa"/>
            <w:vAlign w:val="bottom"/>
            <w:tcBorders>
              <w:bottom w:val="single" w:sz="8" w:color="auto"/>
            </w:tcBorders>
            <w:shd w:val="clear" w:color="auto" w:fill="CCEEFF"/>
          </w:tcPr>
          <w:p>
            <w:pPr>
              <w:spacing w:after="0"/>
              <w:rPr>
                <w:sz w:val="17"/>
                <w:szCs w:val="17"/>
                <w:color w:val="auto"/>
              </w:rPr>
            </w:pP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(82,725)</w:t>
            </w:r>
          </w:p>
        </w:tc>
        <w:tc>
          <w:tcPr>
            <w:tcW w:w="1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872</w:t>
            </w:r>
          </w:p>
        </w:tc>
      </w:tr>
      <w:tr>
        <w:trPr>
          <w:trHeight w:val="202"/>
        </w:trPr>
        <w:tc>
          <w:tcPr>
            <w:tcW w:w="7920" w:type="dxa"/>
            <w:vAlign w:val="bottom"/>
            <w:tcBorders>
              <w:bottom w:val="single" w:sz="8" w:color="CCEEFF"/>
            </w:tcBorders>
          </w:tcPr>
          <w:p>
            <w:pPr>
              <w:spacing w:after="0"/>
              <w:rPr>
                <w:sz w:val="20"/>
                <w:szCs w:val="20"/>
                <w:color w:val="auto"/>
              </w:rPr>
            </w:pPr>
            <w:r>
              <w:rPr>
                <w:rFonts w:ascii="Arial" w:cs="Arial" w:eastAsia="Arial" w:hAnsi="Arial"/>
                <w:sz w:val="17"/>
                <w:szCs w:val="17"/>
                <w:color w:val="auto"/>
              </w:rPr>
              <w:t>Effect of exchange rate changes on cash, cash equivalents and restricted cash</w:t>
            </w:r>
          </w:p>
        </w:tc>
        <w:tc>
          <w:tcPr>
            <w:tcW w:w="18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(57)</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(56)</w:t>
            </w:r>
          </w:p>
        </w:tc>
      </w:tr>
      <w:tr>
        <w:trPr>
          <w:trHeight w:val="202"/>
        </w:trPr>
        <w:tc>
          <w:tcPr>
            <w:tcW w:w="7920" w:type="dxa"/>
            <w:vAlign w:val="bottom"/>
            <w:shd w:val="clear" w:color="auto" w:fill="CCEEFF"/>
          </w:tcPr>
          <w:p>
            <w:pPr>
              <w:spacing w:after="0"/>
              <w:rPr>
                <w:sz w:val="20"/>
                <w:szCs w:val="20"/>
                <w:color w:val="auto"/>
              </w:rPr>
            </w:pPr>
            <w:r>
              <w:rPr>
                <w:rFonts w:ascii="Arial" w:cs="Arial" w:eastAsia="Arial" w:hAnsi="Arial"/>
                <w:sz w:val="17"/>
                <w:szCs w:val="17"/>
                <w:color w:val="auto"/>
              </w:rPr>
              <w:t>Net (decrease) increase in cash, cash equivalents and restricted cash</w:t>
            </w:r>
          </w:p>
        </w:tc>
        <w:tc>
          <w:tcPr>
            <w:tcW w:w="180" w:type="dxa"/>
            <w:vAlign w:val="bottom"/>
            <w:shd w:val="clear" w:color="auto" w:fill="CCEEFF"/>
          </w:tcPr>
          <w:p>
            <w:pPr>
              <w:spacing w:after="0"/>
              <w:rPr>
                <w:sz w:val="17"/>
                <w:szCs w:val="17"/>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(5,649)</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15,208</w:t>
            </w:r>
          </w:p>
        </w:tc>
      </w:tr>
      <w:tr>
        <w:trPr>
          <w:trHeight w:val="209"/>
        </w:trPr>
        <w:tc>
          <w:tcPr>
            <w:tcW w:w="7920" w:type="dxa"/>
            <w:vAlign w:val="bottom"/>
            <w:tcBorders>
              <w:bottom w:val="single" w:sz="8" w:color="CCEEFF"/>
            </w:tcBorders>
          </w:tcPr>
          <w:p>
            <w:pPr>
              <w:spacing w:after="0"/>
              <w:rPr>
                <w:sz w:val="20"/>
                <w:szCs w:val="20"/>
                <w:color w:val="auto"/>
              </w:rPr>
            </w:pPr>
            <w:r>
              <w:rPr>
                <w:rFonts w:ascii="Arial" w:cs="Arial" w:eastAsia="Arial" w:hAnsi="Arial"/>
                <w:sz w:val="17"/>
                <w:szCs w:val="17"/>
                <w:color w:val="auto"/>
              </w:rPr>
              <w:t>Cash, cash equivalents and restricted cash, beginning of period</w:t>
            </w:r>
          </w:p>
        </w:tc>
        <w:tc>
          <w:tcPr>
            <w:tcW w:w="18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68,023</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59,128</w:t>
            </w:r>
          </w:p>
        </w:tc>
      </w:tr>
      <w:tr>
        <w:trPr>
          <w:trHeight w:val="202"/>
        </w:trPr>
        <w:tc>
          <w:tcPr>
            <w:tcW w:w="7920" w:type="dxa"/>
            <w:vAlign w:val="bottom"/>
            <w:shd w:val="clear" w:color="auto" w:fill="CCEEFF"/>
          </w:tcPr>
          <w:p>
            <w:pPr>
              <w:spacing w:after="0"/>
              <w:rPr>
                <w:sz w:val="20"/>
                <w:szCs w:val="20"/>
                <w:color w:val="auto"/>
              </w:rPr>
            </w:pPr>
            <w:r>
              <w:rPr>
                <w:rFonts w:ascii="Arial" w:cs="Arial" w:eastAsia="Arial" w:hAnsi="Arial"/>
                <w:sz w:val="17"/>
                <w:szCs w:val="17"/>
                <w:color w:val="auto"/>
              </w:rPr>
              <w:t>Cash, cash equivalents and restricted cash, end of period</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62,374</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17"/>
              <w:spacing w:after="0"/>
              <w:rPr>
                <w:sz w:val="20"/>
                <w:szCs w:val="20"/>
                <w:color w:val="auto"/>
              </w:rPr>
            </w:pPr>
            <w:r>
              <w:rPr>
                <w:rFonts w:ascii="Arial" w:cs="Arial" w:eastAsia="Arial" w:hAnsi="Arial"/>
                <w:sz w:val="17"/>
                <w:szCs w:val="17"/>
                <w:color w:val="auto"/>
                <w:w w:val="84"/>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74,336</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92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74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b w:val="1"/>
                <w:bCs w:val="1"/>
                <w:color w:val="auto"/>
              </w:rPr>
              <w:t>As of:</w:t>
            </w:r>
          </w:p>
        </w:tc>
        <w:tc>
          <w:tcPr>
            <w:tcW w:w="1360" w:type="dxa"/>
            <w:vAlign w:val="bottom"/>
            <w:tcBorders>
              <w:bottom w:val="single" w:sz="8" w:color="auto"/>
            </w:tcBorders>
          </w:tcPr>
          <w:p>
            <w:pPr>
              <w:spacing w:after="0"/>
              <w:rPr>
                <w:sz w:val="18"/>
                <w:szCs w:val="18"/>
                <w:color w:val="auto"/>
              </w:rPr>
            </w:pPr>
          </w:p>
        </w:tc>
      </w:tr>
      <w:tr>
        <w:trPr>
          <w:trHeight w:val="152"/>
        </w:trPr>
        <w:tc>
          <w:tcPr>
            <w:tcW w:w="79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00" w:type="dxa"/>
            <w:vAlign w:val="bottom"/>
            <w:gridSpan w:val="2"/>
          </w:tcPr>
          <w:p>
            <w:pPr>
              <w:ind w:left="100"/>
              <w:spacing w:after="0" w:line="152" w:lineRule="exact"/>
              <w:rPr>
                <w:sz w:val="20"/>
                <w:szCs w:val="20"/>
                <w:color w:val="auto"/>
              </w:rPr>
            </w:pPr>
            <w:r>
              <w:rPr>
                <w:rFonts w:ascii="Arial" w:cs="Arial" w:eastAsia="Arial" w:hAnsi="Arial"/>
                <w:sz w:val="17"/>
                <w:szCs w:val="17"/>
                <w:b w:val="1"/>
                <w:bCs w:val="1"/>
                <w:color w:val="auto"/>
              </w:rPr>
              <w:t>September 30,</w:t>
            </w:r>
          </w:p>
        </w:tc>
        <w:tc>
          <w:tcPr>
            <w:tcW w:w="240" w:type="dxa"/>
            <w:vAlign w:val="bottom"/>
          </w:tcPr>
          <w:p>
            <w:pPr>
              <w:spacing w:after="0"/>
              <w:rPr>
                <w:sz w:val="13"/>
                <w:szCs w:val="13"/>
                <w:color w:val="auto"/>
              </w:rPr>
            </w:pPr>
          </w:p>
        </w:tc>
        <w:tc>
          <w:tcPr>
            <w:tcW w:w="1360" w:type="dxa"/>
            <w:vAlign w:val="bottom"/>
          </w:tcPr>
          <w:p>
            <w:pPr>
              <w:jc w:val="right"/>
              <w:ind w:right="237"/>
              <w:spacing w:after="0" w:line="152" w:lineRule="exact"/>
              <w:rPr>
                <w:sz w:val="20"/>
                <w:szCs w:val="20"/>
                <w:color w:val="auto"/>
              </w:rPr>
            </w:pPr>
            <w:r>
              <w:rPr>
                <w:rFonts w:ascii="Arial" w:cs="Arial" w:eastAsia="Arial" w:hAnsi="Arial"/>
                <w:sz w:val="17"/>
                <w:szCs w:val="17"/>
                <w:b w:val="1"/>
                <w:bCs w:val="1"/>
                <w:color w:val="auto"/>
                <w:w w:val="92"/>
              </w:rPr>
              <w:t>December 31,</w:t>
            </w:r>
          </w:p>
        </w:tc>
      </w:tr>
      <w:tr>
        <w:trPr>
          <w:trHeight w:val="209"/>
        </w:trPr>
        <w:tc>
          <w:tcPr>
            <w:tcW w:w="79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ind w:right="537"/>
              <w:spacing w:after="0"/>
              <w:rPr>
                <w:sz w:val="20"/>
                <w:szCs w:val="20"/>
                <w:color w:val="auto"/>
              </w:rPr>
            </w:pPr>
            <w:r>
              <w:rPr>
                <w:rFonts w:ascii="Arial" w:cs="Arial" w:eastAsia="Arial" w:hAnsi="Arial"/>
                <w:sz w:val="17"/>
                <w:szCs w:val="17"/>
                <w:b w:val="1"/>
                <w:bCs w:val="1"/>
                <w:color w:val="auto"/>
              </w:rPr>
              <w:t>2021</w:t>
            </w:r>
          </w:p>
        </w:tc>
        <w:tc>
          <w:tcPr>
            <w:tcW w:w="1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ind w:right="557"/>
              <w:spacing w:after="0"/>
              <w:rPr>
                <w:sz w:val="20"/>
                <w:szCs w:val="20"/>
                <w:color w:val="auto"/>
              </w:rPr>
            </w:pPr>
            <w:r>
              <w:rPr>
                <w:rFonts w:ascii="Arial" w:cs="Arial" w:eastAsia="Arial" w:hAnsi="Arial"/>
                <w:sz w:val="17"/>
                <w:szCs w:val="17"/>
                <w:b w:val="1"/>
                <w:bCs w:val="1"/>
                <w:color w:val="auto"/>
              </w:rPr>
              <w:t>2020</w:t>
            </w:r>
          </w:p>
        </w:tc>
      </w:tr>
      <w:tr>
        <w:trPr>
          <w:trHeight w:val="189"/>
        </w:trPr>
        <w:tc>
          <w:tcPr>
            <w:tcW w:w="7920" w:type="dxa"/>
            <w:vAlign w:val="bottom"/>
            <w:shd w:val="clear" w:color="auto" w:fill="CCEEFF"/>
          </w:tcPr>
          <w:p>
            <w:pPr>
              <w:spacing w:after="0" w:line="189" w:lineRule="exact"/>
              <w:rPr>
                <w:sz w:val="20"/>
                <w:szCs w:val="20"/>
                <w:color w:val="auto"/>
              </w:rPr>
            </w:pPr>
            <w:r>
              <w:rPr>
                <w:rFonts w:ascii="Arial" w:cs="Arial" w:eastAsia="Arial" w:hAnsi="Arial"/>
                <w:sz w:val="17"/>
                <w:szCs w:val="17"/>
                <w:color w:val="auto"/>
              </w:rPr>
              <w:t>Reconciliation of cash, cash equivalents and restricted cash</w:t>
            </w:r>
          </w:p>
        </w:tc>
        <w:tc>
          <w:tcPr>
            <w:tcW w:w="180" w:type="dxa"/>
            <w:vAlign w:val="bottom"/>
            <w:shd w:val="clear" w:color="auto" w:fill="CCEEFF"/>
          </w:tcPr>
          <w:p>
            <w:pPr>
              <w:spacing w:after="0"/>
              <w:rPr>
                <w:sz w:val="16"/>
                <w:szCs w:val="16"/>
                <w:color w:val="auto"/>
              </w:rPr>
            </w:pPr>
          </w:p>
        </w:tc>
        <w:tc>
          <w:tcPr>
            <w:tcW w:w="14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360" w:type="dxa"/>
            <w:vAlign w:val="bottom"/>
            <w:shd w:val="clear" w:color="auto" w:fill="CCEEFF"/>
          </w:tcPr>
          <w:p>
            <w:pPr>
              <w:spacing w:after="0"/>
              <w:rPr>
                <w:sz w:val="16"/>
                <w:szCs w:val="16"/>
                <w:color w:val="auto"/>
              </w:rPr>
            </w:pPr>
          </w:p>
        </w:tc>
      </w:tr>
      <w:tr>
        <w:trPr>
          <w:trHeight w:val="209"/>
        </w:trPr>
        <w:tc>
          <w:tcPr>
            <w:tcW w:w="7920" w:type="dxa"/>
            <w:vAlign w:val="bottom"/>
          </w:tcPr>
          <w:p>
            <w:pPr>
              <w:ind w:left="120"/>
              <w:spacing w:after="0"/>
              <w:rPr>
                <w:sz w:val="20"/>
                <w:szCs w:val="20"/>
                <w:color w:val="auto"/>
              </w:rPr>
            </w:pPr>
            <w:r>
              <w:rPr>
                <w:rFonts w:ascii="Arial" w:cs="Arial" w:eastAsia="Arial" w:hAnsi="Arial"/>
                <w:sz w:val="17"/>
                <w:szCs w:val="17"/>
                <w:color w:val="auto"/>
              </w:rPr>
              <w:t>Cash and cash equivalents</w:t>
            </w: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00" w:type="dxa"/>
            <w:vAlign w:val="bottom"/>
          </w:tcPr>
          <w:p>
            <w:pPr>
              <w:jc w:val="right"/>
              <w:spacing w:after="0"/>
              <w:rPr>
                <w:sz w:val="20"/>
                <w:szCs w:val="20"/>
                <w:color w:val="auto"/>
              </w:rPr>
            </w:pPr>
            <w:r>
              <w:rPr>
                <w:rFonts w:ascii="Arial" w:cs="Arial" w:eastAsia="Arial" w:hAnsi="Arial"/>
                <w:sz w:val="17"/>
                <w:szCs w:val="17"/>
                <w:color w:val="auto"/>
              </w:rPr>
              <w:t>11,306</w:t>
            </w:r>
          </w:p>
        </w:tc>
        <w:tc>
          <w:tcPr>
            <w:tcW w:w="100" w:type="dxa"/>
            <w:vAlign w:val="bottom"/>
          </w:tcPr>
          <w:p>
            <w:pPr>
              <w:spacing w:after="0"/>
              <w:rPr>
                <w:sz w:val="18"/>
                <w:szCs w:val="18"/>
                <w:color w:val="auto"/>
              </w:rPr>
            </w:pPr>
          </w:p>
        </w:tc>
        <w:tc>
          <w:tcPr>
            <w:tcW w:w="240" w:type="dxa"/>
            <w:vAlign w:val="bottom"/>
          </w:tcPr>
          <w:p>
            <w:pPr>
              <w:jc w:val="right"/>
              <w:ind w:right="57"/>
              <w:spacing w:after="0"/>
              <w:rPr>
                <w:sz w:val="20"/>
                <w:szCs w:val="20"/>
                <w:color w:val="auto"/>
              </w:rPr>
            </w:pPr>
            <w:r>
              <w:rPr>
                <w:rFonts w:ascii="Arial" w:cs="Arial" w:eastAsia="Arial" w:hAnsi="Arial"/>
                <w:sz w:val="17"/>
                <w:szCs w:val="17"/>
                <w:color w:val="auto"/>
                <w:w w:val="84"/>
              </w:rPr>
              <w:t>$</w:t>
            </w:r>
          </w:p>
        </w:tc>
        <w:tc>
          <w:tcPr>
            <w:tcW w:w="1360" w:type="dxa"/>
            <w:vAlign w:val="bottom"/>
          </w:tcPr>
          <w:p>
            <w:pPr>
              <w:jc w:val="right"/>
              <w:spacing w:after="0"/>
              <w:rPr>
                <w:sz w:val="20"/>
                <w:szCs w:val="20"/>
                <w:color w:val="auto"/>
              </w:rPr>
            </w:pPr>
            <w:r>
              <w:rPr>
                <w:rFonts w:ascii="Arial" w:cs="Arial" w:eastAsia="Arial" w:hAnsi="Arial"/>
                <w:sz w:val="17"/>
                <w:szCs w:val="17"/>
                <w:color w:val="auto"/>
              </w:rPr>
              <w:t>13,330</w:t>
            </w:r>
          </w:p>
        </w:tc>
      </w:tr>
      <w:tr>
        <w:trPr>
          <w:trHeight w:val="209"/>
        </w:trPr>
        <w:tc>
          <w:tcPr>
            <w:tcW w:w="7920" w:type="dxa"/>
            <w:vAlign w:val="bottom"/>
            <w:shd w:val="clear" w:color="auto" w:fill="CCEEFF"/>
          </w:tcPr>
          <w:p>
            <w:pPr>
              <w:ind w:left="120"/>
              <w:spacing w:after="0"/>
              <w:rPr>
                <w:sz w:val="20"/>
                <w:szCs w:val="20"/>
                <w:color w:val="auto"/>
              </w:rPr>
            </w:pPr>
            <w:r>
              <w:rPr>
                <w:rFonts w:ascii="Arial" w:cs="Arial" w:eastAsia="Arial" w:hAnsi="Arial"/>
                <w:sz w:val="17"/>
                <w:szCs w:val="17"/>
                <w:color w:val="auto"/>
              </w:rPr>
              <w:t>Restricted cash (See Note 5 for further discussion on restrictions)</w:t>
            </w:r>
          </w:p>
        </w:tc>
        <w:tc>
          <w:tcPr>
            <w:tcW w:w="180" w:type="dxa"/>
            <w:vAlign w:val="bottom"/>
            <w:tcBorders>
              <w:bottom w:val="single" w:sz="8" w:color="auto"/>
            </w:tcBorders>
            <w:shd w:val="clear" w:color="auto" w:fill="CCEEFF"/>
          </w:tcPr>
          <w:p>
            <w:pPr>
              <w:spacing w:after="0"/>
              <w:rPr>
                <w:sz w:val="18"/>
                <w:szCs w:val="18"/>
                <w:color w:val="auto"/>
              </w:rPr>
            </w:pP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51,068</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54,693</w:t>
            </w:r>
          </w:p>
        </w:tc>
      </w:tr>
      <w:tr>
        <w:trPr>
          <w:trHeight w:val="202"/>
        </w:trPr>
        <w:tc>
          <w:tcPr>
            <w:tcW w:w="7920" w:type="dxa"/>
            <w:vAlign w:val="bottom"/>
          </w:tcPr>
          <w:p>
            <w:pPr>
              <w:spacing w:after="0"/>
              <w:rPr>
                <w:sz w:val="20"/>
                <w:szCs w:val="20"/>
                <w:color w:val="auto"/>
              </w:rPr>
            </w:pPr>
            <w:r>
              <w:rPr>
                <w:rFonts w:ascii="Arial" w:cs="Arial" w:eastAsia="Arial" w:hAnsi="Arial"/>
                <w:sz w:val="17"/>
                <w:szCs w:val="17"/>
                <w:color w:val="auto"/>
              </w:rPr>
              <w:t>Total cash, cash equivalents and restricted cash shown in the statement of cash flows</w:t>
            </w: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00" w:type="dxa"/>
            <w:vAlign w:val="bottom"/>
          </w:tcPr>
          <w:p>
            <w:pPr>
              <w:jc w:val="right"/>
              <w:spacing w:after="0"/>
              <w:rPr>
                <w:sz w:val="20"/>
                <w:szCs w:val="20"/>
                <w:color w:val="auto"/>
              </w:rPr>
            </w:pPr>
            <w:r>
              <w:rPr>
                <w:rFonts w:ascii="Arial" w:cs="Arial" w:eastAsia="Arial" w:hAnsi="Arial"/>
                <w:sz w:val="17"/>
                <w:szCs w:val="17"/>
                <w:color w:val="auto"/>
              </w:rPr>
              <w:t>62,374</w:t>
            </w:r>
          </w:p>
        </w:tc>
        <w:tc>
          <w:tcPr>
            <w:tcW w:w="100" w:type="dxa"/>
            <w:vAlign w:val="bottom"/>
          </w:tcPr>
          <w:p>
            <w:pPr>
              <w:spacing w:after="0"/>
              <w:rPr>
                <w:sz w:val="17"/>
                <w:szCs w:val="17"/>
                <w:color w:val="auto"/>
              </w:rPr>
            </w:pPr>
          </w:p>
        </w:tc>
        <w:tc>
          <w:tcPr>
            <w:tcW w:w="240" w:type="dxa"/>
            <w:vAlign w:val="bottom"/>
          </w:tcPr>
          <w:p>
            <w:pPr>
              <w:jc w:val="right"/>
              <w:ind w:right="57"/>
              <w:spacing w:after="0"/>
              <w:rPr>
                <w:sz w:val="20"/>
                <w:szCs w:val="20"/>
                <w:color w:val="auto"/>
              </w:rPr>
            </w:pPr>
            <w:r>
              <w:rPr>
                <w:rFonts w:ascii="Arial" w:cs="Arial" w:eastAsia="Arial" w:hAnsi="Arial"/>
                <w:sz w:val="17"/>
                <w:szCs w:val="17"/>
                <w:color w:val="auto"/>
                <w:w w:val="84"/>
              </w:rPr>
              <w:t>$</w:t>
            </w:r>
          </w:p>
        </w:tc>
        <w:tc>
          <w:tcPr>
            <w:tcW w:w="1360" w:type="dxa"/>
            <w:vAlign w:val="bottom"/>
          </w:tcPr>
          <w:p>
            <w:pPr>
              <w:jc w:val="right"/>
              <w:spacing w:after="0"/>
              <w:rPr>
                <w:sz w:val="20"/>
                <w:szCs w:val="20"/>
                <w:color w:val="auto"/>
              </w:rPr>
            </w:pPr>
            <w:r>
              <w:rPr>
                <w:rFonts w:ascii="Arial" w:cs="Arial" w:eastAsia="Arial" w:hAnsi="Arial"/>
                <w:sz w:val="17"/>
                <w:szCs w:val="17"/>
                <w:color w:val="auto"/>
              </w:rPr>
              <w:t>68,023</w:t>
            </w:r>
          </w:p>
        </w:tc>
      </w:tr>
    </w:tbl>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92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3100" w:type="dxa"/>
            <w:vAlign w:val="bottom"/>
            <w:tcBorders>
              <w:bottom w:val="single" w:sz="8" w:color="auto"/>
            </w:tcBorders>
            <w:gridSpan w:val="4"/>
          </w:tcPr>
          <w:p>
            <w:pPr>
              <w:jc w:val="right"/>
              <w:ind w:right="857"/>
              <w:spacing w:after="0"/>
              <w:rPr>
                <w:sz w:val="20"/>
                <w:szCs w:val="20"/>
                <w:color w:val="auto"/>
              </w:rPr>
            </w:pPr>
            <w:r>
              <w:rPr>
                <w:rFonts w:ascii="Arial" w:cs="Arial" w:eastAsia="Arial" w:hAnsi="Arial"/>
                <w:sz w:val="17"/>
                <w:szCs w:val="17"/>
                <w:b w:val="1"/>
                <w:bCs w:val="1"/>
                <w:color w:val="auto"/>
              </w:rPr>
              <w:t>Nine Months Ended</w:t>
            </w:r>
          </w:p>
        </w:tc>
      </w:tr>
      <w:tr>
        <w:trPr>
          <w:trHeight w:val="152"/>
        </w:trPr>
        <w:tc>
          <w:tcPr>
            <w:tcW w:w="79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00" w:type="dxa"/>
            <w:vAlign w:val="bottom"/>
            <w:gridSpan w:val="2"/>
          </w:tcPr>
          <w:p>
            <w:pPr>
              <w:ind w:left="100"/>
              <w:spacing w:after="0" w:line="152" w:lineRule="exact"/>
              <w:rPr>
                <w:sz w:val="20"/>
                <w:szCs w:val="20"/>
                <w:color w:val="auto"/>
              </w:rPr>
            </w:pPr>
            <w:r>
              <w:rPr>
                <w:rFonts w:ascii="Arial" w:cs="Arial" w:eastAsia="Arial" w:hAnsi="Arial"/>
                <w:sz w:val="17"/>
                <w:szCs w:val="17"/>
                <w:b w:val="1"/>
                <w:bCs w:val="1"/>
                <w:color w:val="auto"/>
              </w:rPr>
              <w:t>September 30,</w:t>
            </w:r>
          </w:p>
        </w:tc>
        <w:tc>
          <w:tcPr>
            <w:tcW w:w="200" w:type="dxa"/>
            <w:vAlign w:val="bottom"/>
          </w:tcPr>
          <w:p>
            <w:pPr>
              <w:spacing w:after="0"/>
              <w:rPr>
                <w:sz w:val="13"/>
                <w:szCs w:val="13"/>
                <w:color w:val="auto"/>
              </w:rPr>
            </w:pPr>
          </w:p>
        </w:tc>
        <w:tc>
          <w:tcPr>
            <w:tcW w:w="1400" w:type="dxa"/>
            <w:vAlign w:val="bottom"/>
          </w:tcPr>
          <w:p>
            <w:pPr>
              <w:jc w:val="right"/>
              <w:ind w:right="217"/>
              <w:spacing w:after="0" w:line="152" w:lineRule="exact"/>
              <w:rPr>
                <w:sz w:val="20"/>
                <w:szCs w:val="20"/>
                <w:color w:val="auto"/>
              </w:rPr>
            </w:pPr>
            <w:r>
              <w:rPr>
                <w:rFonts w:ascii="Arial" w:cs="Arial" w:eastAsia="Arial" w:hAnsi="Arial"/>
                <w:sz w:val="17"/>
                <w:szCs w:val="17"/>
                <w:b w:val="1"/>
                <w:bCs w:val="1"/>
                <w:color w:val="auto"/>
                <w:w w:val="92"/>
              </w:rPr>
              <w:t>September 30,</w:t>
            </w:r>
          </w:p>
        </w:tc>
      </w:tr>
      <w:tr>
        <w:trPr>
          <w:trHeight w:val="209"/>
        </w:trPr>
        <w:tc>
          <w:tcPr>
            <w:tcW w:w="79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ind w:right="537"/>
              <w:spacing w:after="0"/>
              <w:rPr>
                <w:sz w:val="20"/>
                <w:szCs w:val="20"/>
                <w:color w:val="auto"/>
              </w:rPr>
            </w:pPr>
            <w:r>
              <w:rPr>
                <w:rFonts w:ascii="Arial" w:cs="Arial" w:eastAsia="Arial" w:hAnsi="Arial"/>
                <w:sz w:val="17"/>
                <w:szCs w:val="17"/>
                <w:b w:val="1"/>
                <w:bCs w:val="1"/>
                <w:color w:val="auto"/>
              </w:rPr>
              <w:t>2021</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ind w:right="557"/>
              <w:spacing w:after="0"/>
              <w:rPr>
                <w:sz w:val="20"/>
                <w:szCs w:val="20"/>
                <w:color w:val="auto"/>
              </w:rPr>
            </w:pPr>
            <w:r>
              <w:rPr>
                <w:rFonts w:ascii="Arial" w:cs="Arial" w:eastAsia="Arial" w:hAnsi="Arial"/>
                <w:sz w:val="17"/>
                <w:szCs w:val="17"/>
                <w:b w:val="1"/>
                <w:bCs w:val="1"/>
                <w:color w:val="auto"/>
              </w:rPr>
              <w:t>2020</w:t>
            </w:r>
          </w:p>
        </w:tc>
      </w:tr>
      <w:tr>
        <w:trPr>
          <w:trHeight w:val="202"/>
        </w:trPr>
        <w:tc>
          <w:tcPr>
            <w:tcW w:w="7920" w:type="dxa"/>
            <w:vAlign w:val="bottom"/>
            <w:shd w:val="clear" w:color="auto" w:fill="CCEEFF"/>
          </w:tcPr>
          <w:p>
            <w:pPr>
              <w:spacing w:after="0"/>
              <w:rPr>
                <w:sz w:val="20"/>
                <w:szCs w:val="20"/>
                <w:color w:val="auto"/>
              </w:rPr>
            </w:pPr>
            <w:r>
              <w:rPr>
                <w:rFonts w:ascii="Arial" w:cs="Arial" w:eastAsia="Arial" w:hAnsi="Arial"/>
                <w:sz w:val="17"/>
                <w:szCs w:val="17"/>
                <w:color w:val="auto"/>
              </w:rPr>
              <w:t>Supplemental disclosure of cash flow information:</w:t>
            </w:r>
          </w:p>
        </w:tc>
        <w:tc>
          <w:tcPr>
            <w:tcW w:w="18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r>
      <w:tr>
        <w:trPr>
          <w:trHeight w:val="209"/>
        </w:trPr>
        <w:tc>
          <w:tcPr>
            <w:tcW w:w="7920" w:type="dxa"/>
            <w:vAlign w:val="bottom"/>
          </w:tcPr>
          <w:p>
            <w:pPr>
              <w:ind w:left="200"/>
              <w:spacing w:after="0"/>
              <w:rPr>
                <w:sz w:val="20"/>
                <w:szCs w:val="20"/>
                <w:color w:val="auto"/>
              </w:rPr>
            </w:pPr>
            <w:r>
              <w:rPr>
                <w:rFonts w:ascii="Arial" w:cs="Arial" w:eastAsia="Arial" w:hAnsi="Arial"/>
                <w:sz w:val="17"/>
                <w:szCs w:val="17"/>
                <w:color w:val="auto"/>
              </w:rPr>
              <w:t>Cash paid for interest</w:t>
            </w: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00" w:type="dxa"/>
            <w:vAlign w:val="bottom"/>
          </w:tcPr>
          <w:p>
            <w:pPr>
              <w:jc w:val="right"/>
              <w:spacing w:after="0"/>
              <w:rPr>
                <w:sz w:val="20"/>
                <w:szCs w:val="20"/>
                <w:color w:val="auto"/>
              </w:rPr>
            </w:pPr>
            <w:r>
              <w:rPr>
                <w:rFonts w:ascii="Arial" w:cs="Arial" w:eastAsia="Arial" w:hAnsi="Arial"/>
                <w:sz w:val="17"/>
                <w:szCs w:val="17"/>
                <w:color w:val="auto"/>
              </w:rPr>
              <w:t>4,017</w:t>
            </w:r>
          </w:p>
        </w:tc>
        <w:tc>
          <w:tcPr>
            <w:tcW w:w="100" w:type="dxa"/>
            <w:vAlign w:val="bottom"/>
          </w:tcPr>
          <w:p>
            <w:pPr>
              <w:spacing w:after="0"/>
              <w:rPr>
                <w:sz w:val="18"/>
                <w:szCs w:val="18"/>
                <w:color w:val="auto"/>
              </w:rPr>
            </w:pPr>
          </w:p>
        </w:tc>
        <w:tc>
          <w:tcPr>
            <w:tcW w:w="200" w:type="dxa"/>
            <w:vAlign w:val="bottom"/>
          </w:tcPr>
          <w:p>
            <w:pPr>
              <w:jc w:val="right"/>
              <w:ind w:right="17"/>
              <w:spacing w:after="0"/>
              <w:rPr>
                <w:sz w:val="20"/>
                <w:szCs w:val="20"/>
                <w:color w:val="auto"/>
              </w:rPr>
            </w:pPr>
            <w:r>
              <w:rPr>
                <w:rFonts w:ascii="Arial" w:cs="Arial" w:eastAsia="Arial" w:hAnsi="Arial"/>
                <w:sz w:val="17"/>
                <w:szCs w:val="17"/>
                <w:color w:val="auto"/>
                <w:w w:val="84"/>
              </w:rPr>
              <w:t>$</w:t>
            </w:r>
          </w:p>
        </w:tc>
        <w:tc>
          <w:tcPr>
            <w:tcW w:w="1400" w:type="dxa"/>
            <w:vAlign w:val="bottom"/>
          </w:tcPr>
          <w:p>
            <w:pPr>
              <w:jc w:val="right"/>
              <w:spacing w:after="0"/>
              <w:rPr>
                <w:sz w:val="20"/>
                <w:szCs w:val="20"/>
                <w:color w:val="auto"/>
              </w:rPr>
            </w:pPr>
            <w:r>
              <w:rPr>
                <w:rFonts w:ascii="Arial" w:cs="Arial" w:eastAsia="Arial" w:hAnsi="Arial"/>
                <w:sz w:val="17"/>
                <w:szCs w:val="17"/>
                <w:color w:val="auto"/>
              </w:rPr>
              <w:t>6,011</w:t>
            </w:r>
          </w:p>
        </w:tc>
      </w:tr>
      <w:tr>
        <w:trPr>
          <w:trHeight w:val="248"/>
        </w:trPr>
        <w:tc>
          <w:tcPr>
            <w:tcW w:w="792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4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400" w:type="dxa"/>
            <w:vAlign w:val="bottom"/>
            <w:shd w:val="clear" w:color="auto" w:fill="CCEEFF"/>
          </w:tcPr>
          <w:p>
            <w:pPr>
              <w:spacing w:after="0"/>
              <w:rPr>
                <w:sz w:val="21"/>
                <w:szCs w:val="21"/>
                <w:color w:val="auto"/>
              </w:rPr>
            </w:pPr>
          </w:p>
        </w:tc>
      </w:tr>
      <w:tr>
        <w:trPr>
          <w:trHeight w:val="209"/>
        </w:trPr>
        <w:tc>
          <w:tcPr>
            <w:tcW w:w="7920" w:type="dxa"/>
            <w:vAlign w:val="bottom"/>
          </w:tcPr>
          <w:p>
            <w:pPr>
              <w:spacing w:after="0"/>
              <w:rPr>
                <w:sz w:val="20"/>
                <w:szCs w:val="20"/>
                <w:color w:val="auto"/>
              </w:rPr>
            </w:pPr>
            <w:r>
              <w:rPr>
                <w:rFonts w:ascii="Arial" w:cs="Arial" w:eastAsia="Arial" w:hAnsi="Arial"/>
                <w:sz w:val="17"/>
                <w:szCs w:val="17"/>
                <w:color w:val="auto"/>
              </w:rPr>
              <w:t>Supplemental disclosure of non-cash financing and investing activities:</w:t>
            </w:r>
          </w:p>
        </w:tc>
        <w:tc>
          <w:tcPr>
            <w:tcW w:w="1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spacing w:after="0"/>
              <w:rPr>
                <w:sz w:val="18"/>
                <w:szCs w:val="18"/>
                <w:color w:val="auto"/>
              </w:rPr>
            </w:pPr>
          </w:p>
        </w:tc>
      </w:tr>
      <w:tr>
        <w:trPr>
          <w:trHeight w:val="209"/>
        </w:trPr>
        <w:tc>
          <w:tcPr>
            <w:tcW w:w="7920" w:type="dxa"/>
            <w:vAlign w:val="bottom"/>
            <w:shd w:val="clear" w:color="auto" w:fill="CCEEFF"/>
          </w:tcPr>
          <w:p>
            <w:pPr>
              <w:ind w:left="200"/>
              <w:spacing w:after="0"/>
              <w:rPr>
                <w:sz w:val="20"/>
                <w:szCs w:val="20"/>
                <w:color w:val="auto"/>
              </w:rPr>
            </w:pPr>
            <w:r>
              <w:rPr>
                <w:rFonts w:ascii="Arial" w:cs="Arial" w:eastAsia="Arial" w:hAnsi="Arial"/>
                <w:sz w:val="17"/>
                <w:szCs w:val="17"/>
                <w:color w:val="auto"/>
              </w:rPr>
              <w:t>Increase in capitalized accrued interest for network upgrades</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1,703</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7"/>
              <w:spacing w:after="0"/>
              <w:rPr>
                <w:sz w:val="20"/>
                <w:szCs w:val="20"/>
                <w:color w:val="auto"/>
              </w:rPr>
            </w:pPr>
            <w:r>
              <w:rPr>
                <w:rFonts w:ascii="Arial" w:cs="Arial" w:eastAsia="Arial" w:hAnsi="Arial"/>
                <w:sz w:val="17"/>
                <w:szCs w:val="17"/>
                <w:color w:val="auto"/>
                <w:w w:val="84"/>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1,176</w:t>
            </w:r>
          </w:p>
        </w:tc>
      </w:tr>
      <w:tr>
        <w:trPr>
          <w:trHeight w:val="209"/>
        </w:trPr>
        <w:tc>
          <w:tcPr>
            <w:tcW w:w="7920" w:type="dxa"/>
            <w:vAlign w:val="bottom"/>
          </w:tcPr>
          <w:p>
            <w:pPr>
              <w:ind w:left="200"/>
              <w:spacing w:after="0"/>
              <w:rPr>
                <w:sz w:val="20"/>
                <w:szCs w:val="20"/>
                <w:color w:val="auto"/>
              </w:rPr>
            </w:pPr>
            <w:r>
              <w:rPr>
                <w:rFonts w:ascii="Arial" w:cs="Arial" w:eastAsia="Arial" w:hAnsi="Arial"/>
                <w:sz w:val="17"/>
                <w:szCs w:val="17"/>
                <w:color w:val="auto"/>
              </w:rPr>
              <w:t>Capitalized accretion of debt discount and amortization of prepaid financing costs</w:t>
            </w:r>
          </w:p>
        </w:tc>
        <w:tc>
          <w:tcPr>
            <w:tcW w:w="18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379</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325</w:t>
            </w:r>
          </w:p>
        </w:tc>
      </w:tr>
      <w:tr>
        <w:trPr>
          <w:trHeight w:val="209"/>
        </w:trPr>
        <w:tc>
          <w:tcPr>
            <w:tcW w:w="7920" w:type="dxa"/>
            <w:vAlign w:val="bottom"/>
            <w:shd w:val="clear" w:color="auto" w:fill="CCEEFF"/>
          </w:tcPr>
          <w:p>
            <w:pPr>
              <w:ind w:left="200"/>
              <w:spacing w:after="0"/>
              <w:rPr>
                <w:sz w:val="20"/>
                <w:szCs w:val="20"/>
                <w:color w:val="auto"/>
              </w:rPr>
            </w:pPr>
            <w:r>
              <w:rPr>
                <w:rFonts w:ascii="Arial" w:cs="Arial" w:eastAsia="Arial" w:hAnsi="Arial"/>
                <w:sz w:val="17"/>
                <w:szCs w:val="17"/>
                <w:color w:val="auto"/>
              </w:rPr>
              <w:t>Forgiveness of principal and interest of Paycheck Protection Program loan</w:t>
            </w:r>
          </w:p>
        </w:tc>
        <w:tc>
          <w:tcPr>
            <w:tcW w:w="18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5,030</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09"/>
        </w:trPr>
        <w:tc>
          <w:tcPr>
            <w:tcW w:w="7920" w:type="dxa"/>
            <w:vAlign w:val="bottom"/>
          </w:tcPr>
          <w:p>
            <w:pPr>
              <w:ind w:left="200"/>
              <w:spacing w:after="0"/>
              <w:rPr>
                <w:sz w:val="20"/>
                <w:szCs w:val="20"/>
                <w:color w:val="auto"/>
              </w:rPr>
            </w:pPr>
            <w:r>
              <w:rPr>
                <w:rFonts w:ascii="Arial" w:cs="Arial" w:eastAsia="Arial" w:hAnsi="Arial"/>
                <w:sz w:val="17"/>
                <w:szCs w:val="17"/>
                <w:color w:val="auto"/>
              </w:rPr>
              <w:t>Principal amount of Loan Agreement with Thermo converted into common stock</w:t>
            </w:r>
          </w:p>
        </w:tc>
        <w:tc>
          <w:tcPr>
            <w:tcW w:w="180" w:type="dxa"/>
            <w:vAlign w:val="bottom"/>
          </w:tcPr>
          <w:p>
            <w:pPr>
              <w:spacing w:after="0"/>
              <w:rPr>
                <w:sz w:val="18"/>
                <w:szCs w:val="18"/>
                <w:color w:val="auto"/>
              </w:rPr>
            </w:pPr>
          </w:p>
        </w:tc>
        <w:tc>
          <w:tcPr>
            <w:tcW w:w="150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137,366</w:t>
            </w:r>
          </w:p>
        </w:tc>
      </w:tr>
      <w:tr>
        <w:trPr>
          <w:trHeight w:val="209"/>
        </w:trPr>
        <w:tc>
          <w:tcPr>
            <w:tcW w:w="7920" w:type="dxa"/>
            <w:vAlign w:val="bottom"/>
            <w:shd w:val="clear" w:color="auto" w:fill="CCEEFF"/>
          </w:tcPr>
          <w:p>
            <w:pPr>
              <w:ind w:left="200"/>
              <w:spacing w:after="0"/>
              <w:rPr>
                <w:sz w:val="20"/>
                <w:szCs w:val="20"/>
                <w:color w:val="auto"/>
              </w:rPr>
            </w:pPr>
            <w:r>
              <w:rPr>
                <w:rFonts w:ascii="Arial" w:cs="Arial" w:eastAsia="Arial" w:hAnsi="Arial"/>
                <w:sz w:val="17"/>
                <w:szCs w:val="17"/>
                <w:color w:val="auto"/>
              </w:rPr>
              <w:t>Reduction of debt discount and issuance costs due to conversion of Loan Agreement with Thermo</w:t>
            </w:r>
          </w:p>
        </w:tc>
        <w:tc>
          <w:tcPr>
            <w:tcW w:w="18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17,963</w:t>
            </w:r>
          </w:p>
        </w:tc>
      </w:tr>
      <w:tr>
        <w:trPr>
          <w:trHeight w:val="209"/>
        </w:trPr>
        <w:tc>
          <w:tcPr>
            <w:tcW w:w="7920" w:type="dxa"/>
            <w:vAlign w:val="bottom"/>
          </w:tcPr>
          <w:p>
            <w:pPr>
              <w:ind w:left="200"/>
              <w:spacing w:after="0"/>
              <w:rPr>
                <w:sz w:val="20"/>
                <w:szCs w:val="20"/>
                <w:color w:val="auto"/>
              </w:rPr>
            </w:pPr>
            <w:r>
              <w:rPr>
                <w:rFonts w:ascii="Arial" w:cs="Arial" w:eastAsia="Arial" w:hAnsi="Arial"/>
                <w:sz w:val="17"/>
                <w:szCs w:val="17"/>
                <w:color w:val="auto"/>
              </w:rPr>
              <w:t>Fair value of common stock issued upon conversion of Loan Agreement with Thermo</w:t>
            </w:r>
          </w:p>
        </w:tc>
        <w:tc>
          <w:tcPr>
            <w:tcW w:w="180" w:type="dxa"/>
            <w:vAlign w:val="bottom"/>
          </w:tcPr>
          <w:p>
            <w:pPr>
              <w:spacing w:after="0"/>
              <w:rPr>
                <w:sz w:val="18"/>
                <w:szCs w:val="18"/>
                <w:color w:val="auto"/>
              </w:rPr>
            </w:pPr>
          </w:p>
        </w:tc>
        <w:tc>
          <w:tcPr>
            <w:tcW w:w="150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84,059</w:t>
            </w:r>
          </w:p>
        </w:tc>
      </w:tr>
      <w:tr>
        <w:trPr>
          <w:trHeight w:val="209"/>
        </w:trPr>
        <w:tc>
          <w:tcPr>
            <w:tcW w:w="7920" w:type="dxa"/>
            <w:vAlign w:val="bottom"/>
            <w:shd w:val="clear" w:color="auto" w:fill="CCEEFF"/>
          </w:tcPr>
          <w:p>
            <w:pPr>
              <w:ind w:left="200"/>
              <w:spacing w:after="0"/>
              <w:rPr>
                <w:sz w:val="20"/>
                <w:szCs w:val="20"/>
                <w:color w:val="auto"/>
              </w:rPr>
            </w:pPr>
            <w:r>
              <w:rPr>
                <w:rFonts w:ascii="Arial" w:cs="Arial" w:eastAsia="Arial" w:hAnsi="Arial"/>
                <w:sz w:val="17"/>
                <w:szCs w:val="17"/>
                <w:color w:val="auto"/>
              </w:rPr>
              <w:t>Reduction in derivative liability due to conversion of Loan Agreement with Thermo</w:t>
            </w:r>
          </w:p>
        </w:tc>
        <w:tc>
          <w:tcPr>
            <w:tcW w:w="18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1,058</w:t>
            </w:r>
          </w:p>
        </w:tc>
      </w:tr>
    </w:tbl>
    <w:p>
      <w:pPr>
        <w:spacing w:after="0" w:line="131"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See accompanying notes to unaudited interim condensed consolidated financial statements.</w:t>
      </w:r>
    </w:p>
    <w:p>
      <w:pPr>
        <w:sectPr>
          <w:pgSz w:w="11900" w:h="16838" w:orient="portrait"/>
          <w:cols w:equalWidth="0" w:num="1">
            <w:col w:w="11200"/>
          </w:cols>
          <w:pgMar w:left="360" w:top="157" w:right="339" w:bottom="60" w:gutter="0" w:footer="0" w:header="0"/>
        </w:sectPr>
      </w:pPr>
    </w:p>
    <w:bookmarkStart w:id="8" w:name="page9"/>
    <w:bookmarkEnd w:id="8"/>
    <w:p>
      <w:pPr>
        <w:jc w:val="center"/>
        <w:ind w:right="19"/>
        <w:spacing w:after="0"/>
        <w:rPr>
          <w:sz w:val="20"/>
          <w:szCs w:val="20"/>
          <w:color w:val="auto"/>
        </w:rPr>
      </w:pPr>
      <w:r>
        <w:rPr>
          <w:rFonts w:ascii="Arial" w:cs="Arial" w:eastAsia="Arial" w:hAnsi="Arial"/>
          <w:sz w:val="14"/>
          <w:szCs w:val="14"/>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-720090</wp:posOffset>
            </wp:positionH>
            <wp:positionV relativeFrom="paragraph">
              <wp:posOffset>92075</wp:posOffset>
            </wp:positionV>
            <wp:extent cx="7162165" cy="419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9019"/>
          </w:cols>
          <w:pgMar w:left="1440" w:top="245" w:right="1440" w:bottom="1440" w:gutter="0" w:footer="0" w:header="0"/>
        </w:sectPr>
      </w:pPr>
    </w:p>
    <w:bookmarkStart w:id="9" w:name="page10"/>
    <w:bookmarkEnd w:id="9"/>
    <w:p>
      <w:pPr>
        <w:jc w:val="center"/>
        <w:ind w:right="80"/>
        <w:spacing w:after="0"/>
        <w:rPr>
          <w:sz w:val="20"/>
          <w:szCs w:val="20"/>
          <w:color w:val="auto"/>
        </w:rPr>
      </w:pPr>
      <w:r>
        <w:rPr>
          <w:rFonts w:ascii="Arial" w:cs="Arial" w:eastAsia="Arial" w:hAnsi="Arial"/>
          <w:sz w:val="17"/>
          <w:szCs w:val="17"/>
          <w:b w:val="1"/>
          <w:bCs w:val="1"/>
          <w:color w:val="auto"/>
        </w:rPr>
        <w:t>GLOBALSTAR, INC.</w:t>
      </w:r>
    </w:p>
    <w:p>
      <w:pPr>
        <w:spacing w:after="0" w:line="6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INTERIM CONDENSED CONSOLIDATED FINANCIAL STATEMENTS</w:t>
      </w:r>
    </w:p>
    <w:p>
      <w:pPr>
        <w:spacing w:after="0" w:line="2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 BASIS OF PRESENTATION</w:t>
      </w:r>
    </w:p>
    <w:p>
      <w:pPr>
        <w:spacing w:after="0" w:line="255"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6"/>
          <w:szCs w:val="16"/>
          <w:color w:val="auto"/>
        </w:rPr>
        <w:t>Globalstar, Inc. (“Globalstar” or the “Company”) provides Mobile Satellite Services (“MSS”) including voice and data communications services through its global satellite network. The Company’s only reportable segment is its MSS business. Thermo Companies, through commonly controlled affiliates, (collectively, “Thermo”) is the principal owner and largest stockholder of Globalstar. The Company’s Executive Chairman of the Board controls Thermo. Two other members of the Company's Board of Directors are also directors, officers or minority equity owners of various Thermo entities.</w:t>
      </w:r>
    </w:p>
    <w:p>
      <w:pPr>
        <w:spacing w:after="0" w:line="175" w:lineRule="exact"/>
        <w:rPr>
          <w:sz w:val="20"/>
          <w:szCs w:val="20"/>
          <w:color w:val="auto"/>
        </w:rPr>
      </w:pPr>
    </w:p>
    <w:p>
      <w:pPr>
        <w:jc w:val="both"/>
        <w:ind w:firstLine="235"/>
        <w:spacing w:after="0" w:line="282" w:lineRule="auto"/>
        <w:rPr>
          <w:sz w:val="20"/>
          <w:szCs w:val="20"/>
          <w:color w:val="auto"/>
        </w:rPr>
      </w:pPr>
      <w:r>
        <w:rPr>
          <w:rFonts w:ascii="Arial" w:cs="Arial" w:eastAsia="Arial" w:hAnsi="Arial"/>
          <w:sz w:val="16"/>
          <w:szCs w:val="16"/>
          <w:color w:val="auto"/>
        </w:rPr>
        <w:t>The Company has prepared the accompanying unaudited interim condensed consolidated financial statements in accordance with generally accepted accounting principles in the United States of America (“U.S. GAAP”) for interim financial information. Certain information and footnote disclosures normally included in financial statements have been condensed or omitted pursuant to the rules and regulations of the Securities and Exchange Commission (the “SEC”); however, management believes the disclosures made are adequate to make the information presented not misleading. These financial statements and notes should be read in conjunction with the consolidated financial statements and notes thereto included in the Globalstar Annual Report on Form 10-K for the year ended December 31, 2020, as filed with the SEC on March 4, 2021 (the “2020 Annual Report”).</w:t>
      </w:r>
    </w:p>
    <w:p>
      <w:pPr>
        <w:spacing w:after="0" w:line="193" w:lineRule="exact"/>
        <w:rPr>
          <w:sz w:val="20"/>
          <w:szCs w:val="20"/>
          <w:color w:val="auto"/>
        </w:rPr>
      </w:pPr>
    </w:p>
    <w:p>
      <w:pPr>
        <w:jc w:val="both"/>
        <w:ind w:firstLine="235"/>
        <w:spacing w:after="0" w:line="313" w:lineRule="auto"/>
        <w:rPr>
          <w:sz w:val="20"/>
          <w:szCs w:val="20"/>
          <w:color w:val="auto"/>
        </w:rPr>
      </w:pPr>
      <w:r>
        <w:rPr>
          <w:rFonts w:ascii="Arial" w:cs="Arial" w:eastAsia="Arial" w:hAnsi="Arial"/>
          <w:sz w:val="15"/>
          <w:szCs w:val="15"/>
          <w:color w:val="auto"/>
        </w:rPr>
        <w:t>The preparation of condensed consolidated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estimates. The Company evaluates estimates on an ongoing basis. The Company has made certain reclassifications to prior period condensed consolidated financial statements to conform to current period presentation.</w:t>
      </w:r>
    </w:p>
    <w:p>
      <w:pPr>
        <w:spacing w:after="0" w:line="172" w:lineRule="exact"/>
        <w:rPr>
          <w:sz w:val="20"/>
          <w:szCs w:val="20"/>
          <w:color w:val="auto"/>
        </w:rPr>
      </w:pPr>
    </w:p>
    <w:p>
      <w:pPr>
        <w:jc w:val="both"/>
        <w:ind w:firstLine="235"/>
        <w:spacing w:after="0" w:line="263" w:lineRule="auto"/>
        <w:rPr>
          <w:sz w:val="20"/>
          <w:szCs w:val="20"/>
          <w:color w:val="auto"/>
        </w:rPr>
      </w:pPr>
      <w:r>
        <w:rPr>
          <w:rFonts w:ascii="Arial" w:cs="Arial" w:eastAsia="Arial" w:hAnsi="Arial"/>
          <w:sz w:val="17"/>
          <w:szCs w:val="17"/>
          <w:color w:val="auto"/>
        </w:rPr>
        <w:t>These unaudited interim condensed consolidated financial statements include the accounts of Globalstar and all its subsidiaries. All significant intercompany transactions and balances have been eliminated in the consolidation. In the opinion of management, the information included herein includes all adjustments, consisting of normal recurring adjustments, that are necessary for a fair presentation of the Company’s condensed consolidated statements of operations, condensed consolidated balance sheets, condensed consolidated statements of stockholders' equity and condensed consolidated statements of cash flows for the periods presented. The results of operations for the three and nine months ended September 30, 2021 are not necessarily indicative of the results that may be expected for the full year or any future period.</w:t>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COVID-19-Risks and Uncertainties</w:t>
      </w:r>
    </w:p>
    <w:p>
      <w:pPr>
        <w:spacing w:after="0" w:line="249" w:lineRule="exact"/>
        <w:rPr>
          <w:sz w:val="20"/>
          <w:szCs w:val="20"/>
          <w:color w:val="auto"/>
        </w:rPr>
      </w:pPr>
    </w:p>
    <w:p>
      <w:pPr>
        <w:jc w:val="both"/>
        <w:ind w:firstLine="235"/>
        <w:spacing w:after="0" w:line="282" w:lineRule="auto"/>
        <w:rPr>
          <w:sz w:val="20"/>
          <w:szCs w:val="20"/>
          <w:color w:val="auto"/>
        </w:rPr>
      </w:pPr>
      <w:r>
        <w:rPr>
          <w:rFonts w:ascii="Arial" w:cs="Arial" w:eastAsia="Arial" w:hAnsi="Arial"/>
          <w:sz w:val="16"/>
          <w:szCs w:val="16"/>
          <w:color w:val="auto"/>
        </w:rPr>
        <w:t>There are a number of uncertainties that could impact the Company's future results of operations, including the effectiveness of COVID-19 mitigation measures; the duration of the pandemic; global economic conditions; changes to the Company's operations; changes in consumer confidence, behaviors and spending; work from home trends; and the sustainability of supply chains. The Company has pursued various opportunities to mitigate the risks and uncertainties resulting from COVID-19, including, but not limited to, the receipt of a $5.0 million loan under the Paycheck Protection Program ("PPP") and the evaluation of its eligibility for the Employee Retention Tax Credit program and relief under the American Rescue Plan Act. In June 2021, the Small Business Administration ("SBA") fully approved the Company's request for forgiveness of all amounts outstanding, including accrued interest, under its PPP loan.</w:t>
      </w:r>
    </w:p>
    <w:p>
      <w:pPr>
        <w:spacing w:after="0" w:line="19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Recently Issued Accounting Pronouncements</w:t>
      </w:r>
    </w:p>
    <w:p>
      <w:pPr>
        <w:spacing w:after="0" w:line="249" w:lineRule="exact"/>
        <w:rPr>
          <w:sz w:val="20"/>
          <w:szCs w:val="20"/>
          <w:color w:val="auto"/>
        </w:rPr>
      </w:pPr>
    </w:p>
    <w:p>
      <w:pPr>
        <w:jc w:val="both"/>
        <w:ind w:firstLine="235"/>
        <w:spacing w:after="0" w:line="263" w:lineRule="auto"/>
        <w:rPr>
          <w:sz w:val="20"/>
          <w:szCs w:val="20"/>
          <w:color w:val="auto"/>
        </w:rPr>
      </w:pPr>
      <w:r>
        <w:rPr>
          <w:rFonts w:ascii="Arial" w:cs="Arial" w:eastAsia="Arial" w:hAnsi="Arial"/>
          <w:sz w:val="16"/>
          <w:szCs w:val="16"/>
          <w:color w:val="auto"/>
        </w:rPr>
        <w:t xml:space="preserve">In August 2020, the Financial Accounting Standards Board ("FASB") issued Accounting Standards Update ("ASU") No. 2020-06: </w:t>
      </w:r>
      <w:r>
        <w:rPr>
          <w:rFonts w:ascii="Arial" w:cs="Arial" w:eastAsia="Arial" w:hAnsi="Arial"/>
          <w:sz w:val="16"/>
          <w:szCs w:val="16"/>
          <w:i w:val="1"/>
          <w:iCs w:val="1"/>
          <w:color w:val="auto"/>
        </w:rPr>
        <w:t>Debt—Debt with</w:t>
      </w:r>
      <w:r>
        <w:rPr>
          <w:rFonts w:ascii="Arial" w:cs="Arial" w:eastAsia="Arial" w:hAnsi="Arial"/>
          <w:sz w:val="16"/>
          <w:szCs w:val="16"/>
          <w:color w:val="auto"/>
        </w:rPr>
        <w:t xml:space="preserve"> </w:t>
      </w:r>
      <w:r>
        <w:rPr>
          <w:rFonts w:ascii="Arial" w:cs="Arial" w:eastAsia="Arial" w:hAnsi="Arial"/>
          <w:sz w:val="16"/>
          <w:szCs w:val="16"/>
          <w:i w:val="1"/>
          <w:iCs w:val="1"/>
          <w:color w:val="auto"/>
        </w:rPr>
        <w:t>Conversion and Other Options (Subtopic 470-20) and Derivatives and Hedging—Contracts in Entity’s Own Equity (Subtopic 815-40): Accounting for Convertible Instruments and Contracts in an Entity’s Own Equity</w:t>
      </w:r>
      <w:r>
        <w:rPr>
          <w:rFonts w:ascii="Arial" w:cs="Arial" w:eastAsia="Arial" w:hAnsi="Arial"/>
          <w:sz w:val="16"/>
          <w:szCs w:val="16"/>
          <w:color w:val="auto"/>
        </w:rPr>
        <w:t>. Among other things, ASU No. 2020-06 simplifies the guidance in ASC 470 by eliminating</w:t>
      </w:r>
      <w:r>
        <w:rPr>
          <w:rFonts w:ascii="Arial" w:cs="Arial" w:eastAsia="Arial" w:hAnsi="Arial"/>
          <w:sz w:val="16"/>
          <w:szCs w:val="16"/>
          <w:i w:val="1"/>
          <w:iCs w:val="1"/>
          <w:color w:val="auto"/>
        </w:rPr>
        <w:t xml:space="preserve"> </w:t>
      </w:r>
      <w:r>
        <w:rPr>
          <w:rFonts w:ascii="Arial" w:cs="Arial" w:eastAsia="Arial" w:hAnsi="Arial"/>
          <w:sz w:val="16"/>
          <w:szCs w:val="16"/>
          <w:color w:val="auto"/>
        </w:rPr>
        <w:t>two of the three models that require separating embedded conversion features from convertible instruments. This ASU is effective for public entities for annual and interim periods beginning after December 15, 2021. Early adoption is permitted as of the beginning of any interim or annual reporting period, but no earlier than fiscal years beginning after December 15, 2020, including interim periods within those fiscal years. For existing debt instruments, the Company does not expect this standard will have a material impact to its condensed consolidated financial statements or related disclosures.</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18" w:right="339" w:bottom="1440" w:gutter="0" w:footer="0" w:header="0"/>
        </w:sectPr>
      </w:pPr>
    </w:p>
    <w:bookmarkStart w:id="10" w:name="page11"/>
    <w:bookmarkEnd w:id="10"/>
    <w:p>
      <w:pPr>
        <w:spacing w:after="0"/>
        <w:rPr>
          <w:sz w:val="20"/>
          <w:szCs w:val="20"/>
          <w:color w:val="auto"/>
        </w:rPr>
      </w:pPr>
      <w:r>
        <w:rPr>
          <w:rFonts w:ascii="Arial" w:cs="Arial" w:eastAsia="Arial" w:hAnsi="Arial"/>
          <w:sz w:val="17"/>
          <w:szCs w:val="17"/>
          <w:b w:val="1"/>
          <w:bCs w:val="1"/>
          <w:i w:val="1"/>
          <w:iCs w:val="1"/>
          <w:color w:val="auto"/>
        </w:rPr>
        <w:t>Recently Adopted Accounting Pronouncements</w:t>
      </w:r>
    </w:p>
    <w:p>
      <w:pPr>
        <w:spacing w:after="0" w:line="249" w:lineRule="exact"/>
        <w:rPr>
          <w:sz w:val="20"/>
          <w:szCs w:val="20"/>
          <w:color w:val="auto"/>
        </w:rPr>
      </w:pPr>
    </w:p>
    <w:p>
      <w:pPr>
        <w:jc w:val="both"/>
        <w:ind w:firstLine="235"/>
        <w:spacing w:after="0" w:line="247" w:lineRule="auto"/>
        <w:rPr>
          <w:sz w:val="20"/>
          <w:szCs w:val="20"/>
          <w:color w:val="auto"/>
        </w:rPr>
      </w:pPr>
      <w:r>
        <w:rPr>
          <w:rFonts w:ascii="Arial" w:cs="Arial" w:eastAsia="Arial" w:hAnsi="Arial"/>
          <w:sz w:val="17"/>
          <w:szCs w:val="17"/>
          <w:color w:val="auto"/>
        </w:rPr>
        <w:t xml:space="preserve">In August 2018, the FASB issued ASU No. 2018-14, </w:t>
      </w:r>
      <w:r>
        <w:rPr>
          <w:rFonts w:ascii="Arial" w:cs="Arial" w:eastAsia="Arial" w:hAnsi="Arial"/>
          <w:sz w:val="17"/>
          <w:szCs w:val="17"/>
          <w:i w:val="1"/>
          <w:iCs w:val="1"/>
          <w:color w:val="auto"/>
        </w:rPr>
        <w:t>Compensation - Retirement Benefits - Defined Benefit Plans - General Disclosure Framework -</w:t>
      </w:r>
      <w:r>
        <w:rPr>
          <w:rFonts w:ascii="Arial" w:cs="Arial" w:eastAsia="Arial" w:hAnsi="Arial"/>
          <w:sz w:val="17"/>
          <w:szCs w:val="17"/>
          <w:color w:val="auto"/>
        </w:rPr>
        <w:t xml:space="preserve"> </w:t>
      </w:r>
      <w:r>
        <w:rPr>
          <w:rFonts w:ascii="Arial" w:cs="Arial" w:eastAsia="Arial" w:hAnsi="Arial"/>
          <w:sz w:val="17"/>
          <w:szCs w:val="17"/>
          <w:i w:val="1"/>
          <w:iCs w:val="1"/>
          <w:color w:val="auto"/>
        </w:rPr>
        <w:t>Changes to the Disclosure Requirements for Defined Benefit Plans</w:t>
      </w:r>
      <w:r>
        <w:rPr>
          <w:rFonts w:ascii="Arial" w:cs="Arial" w:eastAsia="Arial" w:hAnsi="Arial"/>
          <w:sz w:val="17"/>
          <w:szCs w:val="17"/>
          <w:color w:val="auto"/>
        </w:rPr>
        <w:t>. As part of the FASB's disclosure framework project, it has changed the disclosure</w:t>
      </w:r>
      <w:r>
        <w:rPr>
          <w:rFonts w:ascii="Arial" w:cs="Arial" w:eastAsia="Arial" w:hAnsi="Arial"/>
          <w:sz w:val="17"/>
          <w:szCs w:val="17"/>
          <w:i w:val="1"/>
          <w:iCs w:val="1"/>
          <w:color w:val="auto"/>
        </w:rPr>
        <w:t xml:space="preserve"> </w:t>
      </w:r>
      <w:r>
        <w:rPr>
          <w:rFonts w:ascii="Arial" w:cs="Arial" w:eastAsia="Arial" w:hAnsi="Arial"/>
          <w:sz w:val="17"/>
          <w:szCs w:val="17"/>
          <w:color w:val="auto"/>
        </w:rPr>
        <w:t>requirements for defined pension and other post-retirement benefit plans as outlined in ASU No. 2018-14. This ASU, which became effective for public entities for annual periods beginning after December 15, 2020, adds certain narrative disclosures and removes other disclosures related to defined benefit plans. The Company adopted this standard when it became effective on January 1, 2021. The adoption of this standard did not have a material effect on the Company's disclosures.</w:t>
      </w:r>
    </w:p>
    <w:p>
      <w:pPr>
        <w:spacing w:after="0" w:line="204" w:lineRule="exact"/>
        <w:rPr>
          <w:sz w:val="20"/>
          <w:szCs w:val="20"/>
          <w:color w:val="auto"/>
        </w:rPr>
      </w:pPr>
    </w:p>
    <w:p>
      <w:pPr>
        <w:jc w:val="both"/>
        <w:ind w:firstLine="235"/>
        <w:spacing w:after="0" w:line="271" w:lineRule="auto"/>
        <w:rPr>
          <w:sz w:val="20"/>
          <w:szCs w:val="20"/>
          <w:color w:val="auto"/>
        </w:rPr>
      </w:pPr>
      <w:r>
        <w:rPr>
          <w:rFonts w:ascii="Arial" w:cs="Arial" w:eastAsia="Arial" w:hAnsi="Arial"/>
          <w:sz w:val="16"/>
          <w:szCs w:val="16"/>
          <w:color w:val="auto"/>
        </w:rPr>
        <w:t xml:space="preserve">In December 2019, the FASB issued ASU No. 2019-12: </w:t>
      </w:r>
      <w:r>
        <w:rPr>
          <w:rFonts w:ascii="Arial" w:cs="Arial" w:eastAsia="Arial" w:hAnsi="Arial"/>
          <w:sz w:val="16"/>
          <w:szCs w:val="16"/>
          <w:i w:val="1"/>
          <w:iCs w:val="1"/>
          <w:color w:val="auto"/>
        </w:rPr>
        <w:t>Income Taxes (Topic 740): Simplifying the Accounting for Income Taxes</w:t>
      </w:r>
      <w:r>
        <w:rPr>
          <w:rFonts w:ascii="Arial" w:cs="Arial" w:eastAsia="Arial" w:hAnsi="Arial"/>
          <w:sz w:val="16"/>
          <w:szCs w:val="16"/>
          <w:color w:val="auto"/>
        </w:rPr>
        <w:t>. ASU No. 2019-12 amends the accounting treatment for income taxes by simplifying and clarifying certain aspects of the existing guidance. This ASU became effective for public entities for annual and interim periods beginning after December 15, 2020. The Company adopted this standard when it became effective on January 1, 2021. The adoption of this standard did not have a material effect on the Company's financial statements or related disclosures.</w:t>
      </w:r>
    </w:p>
    <w:p>
      <w:pPr>
        <w:spacing w:after="0" w:line="182" w:lineRule="exact"/>
        <w:rPr>
          <w:sz w:val="20"/>
          <w:szCs w:val="20"/>
          <w:color w:val="auto"/>
        </w:rPr>
      </w:pPr>
    </w:p>
    <w:p>
      <w:pPr>
        <w:ind w:right="9240" w:firstLine="5"/>
        <w:spacing w:after="0" w:line="622" w:lineRule="auto"/>
        <w:tabs>
          <w:tab w:leader="none" w:pos="174" w:val="left"/>
        </w:tabs>
        <w:numPr>
          <w:ilvl w:val="0"/>
          <w:numId w:val="3"/>
        </w:numPr>
        <w:rPr>
          <w:rFonts w:ascii="Arial" w:cs="Arial" w:eastAsia="Arial" w:hAnsi="Arial"/>
          <w:sz w:val="15"/>
          <w:szCs w:val="15"/>
          <w:b w:val="1"/>
          <w:bCs w:val="1"/>
          <w:color w:val="auto"/>
        </w:rPr>
      </w:pPr>
      <w:r>
        <w:rPr>
          <w:rFonts w:ascii="Arial" w:cs="Arial" w:eastAsia="Arial" w:hAnsi="Arial"/>
          <w:sz w:val="15"/>
          <w:szCs w:val="15"/>
          <w:b w:val="1"/>
          <w:bCs w:val="1"/>
          <w:color w:val="auto"/>
        </w:rPr>
        <w:t>REVENUE Disaggregation of Revenue</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discloses revenue disaggregated by type of product and service (amounts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328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3720" w:type="dxa"/>
            <w:vAlign w:val="bottom"/>
            <w:tcBorders>
              <w:bottom w:val="single" w:sz="8" w:color="auto"/>
            </w:tcBorders>
            <w:gridSpan w:val="4"/>
          </w:tcPr>
          <w:p>
            <w:pPr>
              <w:jc w:val="right"/>
              <w:ind w:right="1222"/>
              <w:spacing w:after="0"/>
              <w:rPr>
                <w:sz w:val="20"/>
                <w:szCs w:val="20"/>
                <w:color w:val="auto"/>
              </w:rPr>
            </w:pPr>
            <w:r>
              <w:rPr>
                <w:rFonts w:ascii="Arial" w:cs="Arial" w:eastAsia="Arial" w:hAnsi="Arial"/>
                <w:sz w:val="16"/>
                <w:szCs w:val="16"/>
                <w:color w:val="auto"/>
              </w:rPr>
              <w:t>Three Months Ended</w:t>
            </w:r>
          </w:p>
        </w:tc>
        <w:tc>
          <w:tcPr>
            <w:tcW w:w="10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3720" w:type="dxa"/>
            <w:vAlign w:val="bottom"/>
            <w:tcBorders>
              <w:bottom w:val="single" w:sz="8" w:color="auto"/>
            </w:tcBorders>
            <w:gridSpan w:val="4"/>
          </w:tcPr>
          <w:p>
            <w:pPr>
              <w:jc w:val="right"/>
              <w:ind w:right="1262"/>
              <w:spacing w:after="0"/>
              <w:rPr>
                <w:sz w:val="20"/>
                <w:szCs w:val="20"/>
                <w:color w:val="auto"/>
              </w:rPr>
            </w:pPr>
            <w:r>
              <w:rPr>
                <w:rFonts w:ascii="Arial" w:cs="Arial" w:eastAsia="Arial" w:hAnsi="Arial"/>
                <w:sz w:val="16"/>
                <w:szCs w:val="16"/>
                <w:color w:val="auto"/>
              </w:rPr>
              <w:t>Nine Months Ended</w:t>
            </w:r>
          </w:p>
        </w:tc>
      </w:tr>
      <w:tr>
        <w:trPr>
          <w:trHeight w:val="202"/>
        </w:trPr>
        <w:tc>
          <w:tcPr>
            <w:tcW w:w="32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0" w:type="dxa"/>
            <w:vAlign w:val="bottom"/>
            <w:gridSpan w:val="2"/>
          </w:tcPr>
          <w:p>
            <w:pPr>
              <w:ind w:left="120"/>
              <w:spacing w:after="0"/>
              <w:rPr>
                <w:sz w:val="20"/>
                <w:szCs w:val="20"/>
                <w:color w:val="auto"/>
              </w:rPr>
            </w:pPr>
            <w:r>
              <w:rPr>
                <w:rFonts w:ascii="Arial" w:cs="Arial" w:eastAsia="Arial" w:hAnsi="Arial"/>
                <w:sz w:val="16"/>
                <w:szCs w:val="16"/>
                <w:color w:val="auto"/>
              </w:rPr>
              <w:t>September 30, 2021</w:t>
            </w:r>
          </w:p>
        </w:tc>
        <w:tc>
          <w:tcPr>
            <w:tcW w:w="220" w:type="dxa"/>
            <w:vAlign w:val="bottom"/>
          </w:tcPr>
          <w:p>
            <w:pPr>
              <w:spacing w:after="0"/>
              <w:rPr>
                <w:sz w:val="17"/>
                <w:szCs w:val="17"/>
                <w:color w:val="auto"/>
              </w:rPr>
            </w:pPr>
          </w:p>
        </w:tc>
        <w:tc>
          <w:tcPr>
            <w:tcW w:w="1800" w:type="dxa"/>
            <w:vAlign w:val="bottom"/>
            <w:gridSpan w:val="2"/>
          </w:tcPr>
          <w:p>
            <w:pPr>
              <w:ind w:left="100"/>
              <w:spacing w:after="0"/>
              <w:rPr>
                <w:sz w:val="20"/>
                <w:szCs w:val="20"/>
                <w:color w:val="auto"/>
              </w:rPr>
            </w:pPr>
            <w:r>
              <w:rPr>
                <w:rFonts w:ascii="Arial" w:cs="Arial" w:eastAsia="Arial" w:hAnsi="Arial"/>
                <w:sz w:val="16"/>
                <w:szCs w:val="16"/>
                <w:color w:val="auto"/>
              </w:rPr>
              <w:t>September 30, 2020</w:t>
            </w:r>
          </w:p>
        </w:tc>
        <w:tc>
          <w:tcPr>
            <w:tcW w:w="220" w:type="dxa"/>
            <w:vAlign w:val="bottom"/>
          </w:tcPr>
          <w:p>
            <w:pPr>
              <w:spacing w:after="0"/>
              <w:rPr>
                <w:sz w:val="17"/>
                <w:szCs w:val="17"/>
                <w:color w:val="auto"/>
              </w:rPr>
            </w:pPr>
          </w:p>
        </w:tc>
        <w:tc>
          <w:tcPr>
            <w:tcW w:w="1800" w:type="dxa"/>
            <w:vAlign w:val="bottom"/>
            <w:gridSpan w:val="2"/>
          </w:tcPr>
          <w:p>
            <w:pPr>
              <w:ind w:left="100"/>
              <w:spacing w:after="0"/>
              <w:rPr>
                <w:sz w:val="20"/>
                <w:szCs w:val="20"/>
                <w:color w:val="auto"/>
              </w:rPr>
            </w:pPr>
            <w:r>
              <w:rPr>
                <w:rFonts w:ascii="Arial" w:cs="Arial" w:eastAsia="Arial" w:hAnsi="Arial"/>
                <w:sz w:val="16"/>
                <w:szCs w:val="16"/>
                <w:color w:val="auto"/>
              </w:rPr>
              <w:t>September 30, 2021</w:t>
            </w:r>
          </w:p>
        </w:tc>
        <w:tc>
          <w:tcPr>
            <w:tcW w:w="220" w:type="dxa"/>
            <w:vAlign w:val="bottom"/>
          </w:tcPr>
          <w:p>
            <w:pPr>
              <w:spacing w:after="0"/>
              <w:rPr>
                <w:sz w:val="17"/>
                <w:szCs w:val="17"/>
                <w:color w:val="auto"/>
              </w:rPr>
            </w:pPr>
          </w:p>
        </w:tc>
        <w:tc>
          <w:tcPr>
            <w:tcW w:w="1700" w:type="dxa"/>
            <w:vAlign w:val="bottom"/>
          </w:tcPr>
          <w:p>
            <w:pPr>
              <w:jc w:val="right"/>
              <w:ind w:right="242"/>
              <w:spacing w:after="0"/>
              <w:rPr>
                <w:sz w:val="20"/>
                <w:szCs w:val="20"/>
                <w:color w:val="auto"/>
              </w:rPr>
            </w:pPr>
            <w:r>
              <w:rPr>
                <w:rFonts w:ascii="Arial" w:cs="Arial" w:eastAsia="Arial" w:hAnsi="Arial"/>
                <w:sz w:val="16"/>
                <w:szCs w:val="16"/>
                <w:color w:val="auto"/>
                <w:w w:val="93"/>
              </w:rPr>
              <w:t>September 30, 2020</w:t>
            </w:r>
          </w:p>
        </w:tc>
      </w:tr>
      <w:tr>
        <w:trPr>
          <w:trHeight w:val="192"/>
        </w:trPr>
        <w:tc>
          <w:tcPr>
            <w:tcW w:w="32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Service revenue:</w:t>
            </w:r>
          </w:p>
        </w:tc>
        <w:tc>
          <w:tcPr>
            <w:tcW w:w="200" w:type="dxa"/>
            <w:vAlign w:val="bottom"/>
            <w:tcBorders>
              <w:top w:val="single" w:sz="8" w:color="auto"/>
            </w:tcBorders>
            <w:shd w:val="clear" w:color="auto" w:fill="CCEEFF"/>
          </w:tcPr>
          <w:p>
            <w:pPr>
              <w:spacing w:after="0"/>
              <w:rPr>
                <w:sz w:val="16"/>
                <w:szCs w:val="16"/>
                <w:color w:val="auto"/>
              </w:rPr>
            </w:pPr>
          </w:p>
        </w:tc>
        <w:tc>
          <w:tcPr>
            <w:tcW w:w="17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17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17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1700" w:type="dxa"/>
            <w:vAlign w:val="bottom"/>
            <w:tcBorders>
              <w:top w:val="single" w:sz="8" w:color="auto"/>
            </w:tcBorders>
            <w:shd w:val="clear" w:color="auto" w:fill="CCEEFF"/>
          </w:tcPr>
          <w:p>
            <w:pPr>
              <w:spacing w:after="0"/>
              <w:rPr>
                <w:sz w:val="16"/>
                <w:szCs w:val="16"/>
                <w:color w:val="auto"/>
              </w:rPr>
            </w:pPr>
          </w:p>
        </w:tc>
      </w:tr>
      <w:tr>
        <w:trPr>
          <w:trHeight w:val="206"/>
        </w:trPr>
        <w:tc>
          <w:tcPr>
            <w:tcW w:w="3280" w:type="dxa"/>
            <w:vAlign w:val="bottom"/>
          </w:tcPr>
          <w:p>
            <w:pPr>
              <w:ind w:left="140"/>
              <w:spacing w:after="0"/>
              <w:rPr>
                <w:sz w:val="20"/>
                <w:szCs w:val="20"/>
                <w:color w:val="auto"/>
              </w:rPr>
            </w:pPr>
            <w:r>
              <w:rPr>
                <w:rFonts w:ascii="Arial" w:cs="Arial" w:eastAsia="Arial" w:hAnsi="Arial"/>
                <w:sz w:val="16"/>
                <w:szCs w:val="16"/>
                <w:color w:val="auto"/>
              </w:rPr>
              <w:t>Duplex</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1700" w:type="dxa"/>
            <w:vAlign w:val="bottom"/>
          </w:tcPr>
          <w:p>
            <w:pPr>
              <w:jc w:val="right"/>
              <w:spacing w:after="0"/>
              <w:rPr>
                <w:sz w:val="20"/>
                <w:szCs w:val="20"/>
                <w:color w:val="auto"/>
              </w:rPr>
            </w:pPr>
            <w:r>
              <w:rPr>
                <w:rFonts w:ascii="Arial" w:cs="Arial" w:eastAsia="Arial" w:hAnsi="Arial"/>
                <w:sz w:val="16"/>
                <w:szCs w:val="16"/>
                <w:color w:val="auto"/>
              </w:rPr>
              <w:t>9,632</w:t>
            </w:r>
          </w:p>
        </w:tc>
        <w:tc>
          <w:tcPr>
            <w:tcW w:w="100" w:type="dxa"/>
            <w:vAlign w:val="bottom"/>
          </w:tcPr>
          <w:p>
            <w:pPr>
              <w:spacing w:after="0"/>
              <w:rPr>
                <w:sz w:val="17"/>
                <w:szCs w:val="17"/>
                <w:color w:val="auto"/>
              </w:rPr>
            </w:pPr>
          </w:p>
        </w:tc>
        <w:tc>
          <w:tcPr>
            <w:tcW w:w="220" w:type="dxa"/>
            <w:vAlign w:val="bottom"/>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Pr>
          <w:p>
            <w:pPr>
              <w:jc w:val="right"/>
              <w:ind w:right="2"/>
              <w:spacing w:after="0"/>
              <w:rPr>
                <w:sz w:val="20"/>
                <w:szCs w:val="20"/>
                <w:color w:val="auto"/>
              </w:rPr>
            </w:pPr>
            <w:r>
              <w:rPr>
                <w:rFonts w:ascii="Arial" w:cs="Arial" w:eastAsia="Arial" w:hAnsi="Arial"/>
                <w:sz w:val="16"/>
                <w:szCs w:val="16"/>
                <w:color w:val="auto"/>
              </w:rPr>
              <w:t>9,956</w:t>
            </w:r>
          </w:p>
        </w:tc>
        <w:tc>
          <w:tcPr>
            <w:tcW w:w="100" w:type="dxa"/>
            <w:vAlign w:val="bottom"/>
          </w:tcPr>
          <w:p>
            <w:pPr>
              <w:spacing w:after="0"/>
              <w:rPr>
                <w:sz w:val="17"/>
                <w:szCs w:val="17"/>
                <w:color w:val="auto"/>
              </w:rPr>
            </w:pPr>
          </w:p>
        </w:tc>
        <w:tc>
          <w:tcPr>
            <w:tcW w:w="220" w:type="dxa"/>
            <w:vAlign w:val="bottom"/>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Pr>
          <w:p>
            <w:pPr>
              <w:jc w:val="right"/>
              <w:spacing w:after="0"/>
              <w:rPr>
                <w:sz w:val="20"/>
                <w:szCs w:val="20"/>
                <w:color w:val="auto"/>
              </w:rPr>
            </w:pPr>
            <w:r>
              <w:rPr>
                <w:rFonts w:ascii="Arial" w:cs="Arial" w:eastAsia="Arial" w:hAnsi="Arial"/>
                <w:sz w:val="16"/>
                <w:szCs w:val="16"/>
                <w:color w:val="auto"/>
              </w:rPr>
              <w:t>23,530</w:t>
            </w:r>
          </w:p>
        </w:tc>
        <w:tc>
          <w:tcPr>
            <w:tcW w:w="100" w:type="dxa"/>
            <w:vAlign w:val="bottom"/>
          </w:tcPr>
          <w:p>
            <w:pPr>
              <w:spacing w:after="0"/>
              <w:rPr>
                <w:sz w:val="17"/>
                <w:szCs w:val="17"/>
                <w:color w:val="auto"/>
              </w:rPr>
            </w:pPr>
          </w:p>
        </w:tc>
        <w:tc>
          <w:tcPr>
            <w:tcW w:w="220" w:type="dxa"/>
            <w:vAlign w:val="bottom"/>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Pr>
          <w:p>
            <w:pPr>
              <w:jc w:val="right"/>
              <w:spacing w:after="0"/>
              <w:rPr>
                <w:sz w:val="20"/>
                <w:szCs w:val="20"/>
                <w:color w:val="auto"/>
              </w:rPr>
            </w:pPr>
            <w:r>
              <w:rPr>
                <w:rFonts w:ascii="Arial" w:cs="Arial" w:eastAsia="Arial" w:hAnsi="Arial"/>
                <w:sz w:val="16"/>
                <w:szCs w:val="16"/>
                <w:color w:val="auto"/>
              </w:rPr>
              <w:t>26,175</w:t>
            </w:r>
          </w:p>
        </w:tc>
      </w:tr>
      <w:tr>
        <w:trPr>
          <w:trHeight w:val="212"/>
        </w:trPr>
        <w:tc>
          <w:tcPr>
            <w:tcW w:w="3280" w:type="dxa"/>
            <w:vAlign w:val="bottom"/>
            <w:shd w:val="clear" w:color="auto" w:fill="CCEEFF"/>
          </w:tcPr>
          <w:p>
            <w:pPr>
              <w:ind w:left="140"/>
              <w:spacing w:after="0"/>
              <w:rPr>
                <w:sz w:val="20"/>
                <w:szCs w:val="20"/>
                <w:color w:val="auto"/>
              </w:rPr>
            </w:pPr>
            <w:r>
              <w:rPr>
                <w:rFonts w:ascii="Arial" w:cs="Arial" w:eastAsia="Arial" w:hAnsi="Arial"/>
                <w:sz w:val="16"/>
                <w:szCs w:val="16"/>
                <w:color w:val="auto"/>
              </w:rPr>
              <w:t>SPOT</w:t>
            </w:r>
          </w:p>
        </w:tc>
        <w:tc>
          <w:tcPr>
            <w:tcW w:w="20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11,873</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11,396</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33,996</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35,098</w:t>
            </w:r>
          </w:p>
        </w:tc>
      </w:tr>
      <w:tr>
        <w:trPr>
          <w:trHeight w:val="206"/>
        </w:trPr>
        <w:tc>
          <w:tcPr>
            <w:tcW w:w="3280" w:type="dxa"/>
            <w:vAlign w:val="bottom"/>
          </w:tcPr>
          <w:p>
            <w:pPr>
              <w:ind w:left="140"/>
              <w:spacing w:after="0"/>
              <w:rPr>
                <w:sz w:val="20"/>
                <w:szCs w:val="20"/>
                <w:color w:val="auto"/>
              </w:rPr>
            </w:pPr>
            <w:r>
              <w:rPr>
                <w:rFonts w:ascii="Arial" w:cs="Arial" w:eastAsia="Arial" w:hAnsi="Arial"/>
                <w:sz w:val="16"/>
                <w:szCs w:val="16"/>
                <w:color w:val="auto"/>
              </w:rPr>
              <w:t>Commercial IoT</w:t>
            </w:r>
          </w:p>
        </w:tc>
        <w:tc>
          <w:tcPr>
            <w:tcW w:w="200" w:type="dxa"/>
            <w:vAlign w:val="bottom"/>
          </w:tcPr>
          <w:p>
            <w:pPr>
              <w:spacing w:after="0"/>
              <w:rPr>
                <w:sz w:val="17"/>
                <w:szCs w:val="17"/>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4,458</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jc w:val="right"/>
              <w:ind w:right="2"/>
              <w:spacing w:after="0"/>
              <w:rPr>
                <w:sz w:val="20"/>
                <w:szCs w:val="20"/>
                <w:color w:val="auto"/>
              </w:rPr>
            </w:pPr>
            <w:r>
              <w:rPr>
                <w:rFonts w:ascii="Arial" w:cs="Arial" w:eastAsia="Arial" w:hAnsi="Arial"/>
                <w:sz w:val="16"/>
                <w:szCs w:val="16"/>
                <w:color w:val="auto"/>
              </w:rPr>
              <w:t>4,420</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13,443</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13,028</w:t>
            </w:r>
          </w:p>
        </w:tc>
      </w:tr>
      <w:tr>
        <w:trPr>
          <w:trHeight w:val="212"/>
        </w:trPr>
        <w:tc>
          <w:tcPr>
            <w:tcW w:w="3280" w:type="dxa"/>
            <w:vAlign w:val="bottom"/>
            <w:shd w:val="clear" w:color="auto" w:fill="CCEEFF"/>
          </w:tcPr>
          <w:p>
            <w:pPr>
              <w:ind w:left="140"/>
              <w:spacing w:after="0"/>
              <w:rPr>
                <w:sz w:val="20"/>
                <w:szCs w:val="20"/>
                <w:color w:val="auto"/>
              </w:rPr>
            </w:pPr>
            <w:r>
              <w:rPr>
                <w:rFonts w:ascii="Arial" w:cs="Arial" w:eastAsia="Arial" w:hAnsi="Arial"/>
                <w:sz w:val="16"/>
                <w:szCs w:val="16"/>
                <w:color w:val="auto"/>
              </w:rPr>
              <w:t>Engineering and other</w:t>
            </w:r>
          </w:p>
        </w:tc>
        <w:tc>
          <w:tcPr>
            <w:tcW w:w="200" w:type="dxa"/>
            <w:vAlign w:val="bottom"/>
            <w:tcBorders>
              <w:bottom w:val="single" w:sz="8" w:color="auto"/>
            </w:tcBorders>
            <w:shd w:val="clear" w:color="auto" w:fill="CCEEFF"/>
          </w:tcPr>
          <w:p>
            <w:pPr>
              <w:spacing w:after="0"/>
              <w:rPr>
                <w:sz w:val="18"/>
                <w:szCs w:val="18"/>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1,885</w:t>
            </w: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70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2,613</w:t>
            </w: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5,582</w:t>
            </w: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10,109</w:t>
            </w:r>
          </w:p>
        </w:tc>
      </w:tr>
      <w:tr>
        <w:trPr>
          <w:trHeight w:val="199"/>
        </w:trPr>
        <w:tc>
          <w:tcPr>
            <w:tcW w:w="3280" w:type="dxa"/>
            <w:vAlign w:val="bottom"/>
          </w:tcPr>
          <w:p>
            <w:pPr>
              <w:ind w:left="220"/>
              <w:spacing w:after="0"/>
              <w:rPr>
                <w:sz w:val="20"/>
                <w:szCs w:val="20"/>
                <w:color w:val="auto"/>
              </w:rPr>
            </w:pPr>
            <w:r>
              <w:rPr>
                <w:rFonts w:ascii="Arial" w:cs="Arial" w:eastAsia="Arial" w:hAnsi="Arial"/>
                <w:sz w:val="16"/>
                <w:szCs w:val="16"/>
                <w:color w:val="auto"/>
              </w:rPr>
              <w:t>Total service revenue</w:t>
            </w:r>
          </w:p>
        </w:tc>
        <w:tc>
          <w:tcPr>
            <w:tcW w:w="200" w:type="dxa"/>
            <w:vAlign w:val="bottom"/>
          </w:tcPr>
          <w:p>
            <w:pPr>
              <w:spacing w:after="0"/>
              <w:rPr>
                <w:sz w:val="17"/>
                <w:szCs w:val="17"/>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27,848</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jc w:val="right"/>
              <w:ind w:right="2"/>
              <w:spacing w:after="0"/>
              <w:rPr>
                <w:sz w:val="20"/>
                <w:szCs w:val="20"/>
                <w:color w:val="auto"/>
              </w:rPr>
            </w:pPr>
            <w:r>
              <w:rPr>
                <w:rFonts w:ascii="Arial" w:cs="Arial" w:eastAsia="Arial" w:hAnsi="Arial"/>
                <w:sz w:val="16"/>
                <w:szCs w:val="16"/>
                <w:color w:val="auto"/>
              </w:rPr>
              <w:t>28,385</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76,551</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84,410</w:t>
            </w:r>
          </w:p>
        </w:tc>
      </w:tr>
      <w:tr>
        <w:trPr>
          <w:trHeight w:val="108"/>
        </w:trPr>
        <w:tc>
          <w:tcPr>
            <w:tcW w:w="3280" w:type="dxa"/>
            <w:vAlign w:val="bottom"/>
            <w:shd w:val="clear" w:color="auto" w:fill="CCEEFF"/>
          </w:tcPr>
          <w:p>
            <w:pPr>
              <w:spacing w:after="0"/>
              <w:rPr>
                <w:sz w:val="9"/>
                <w:szCs w:val="9"/>
                <w:color w:val="auto"/>
              </w:rPr>
            </w:pPr>
          </w:p>
        </w:tc>
        <w:tc>
          <w:tcPr>
            <w:tcW w:w="200" w:type="dxa"/>
            <w:vAlign w:val="bottom"/>
            <w:shd w:val="clear" w:color="auto" w:fill="CCEEFF"/>
          </w:tcPr>
          <w:p>
            <w:pPr>
              <w:spacing w:after="0"/>
              <w:rPr>
                <w:sz w:val="9"/>
                <w:szCs w:val="9"/>
                <w:color w:val="auto"/>
              </w:rPr>
            </w:pPr>
          </w:p>
        </w:tc>
        <w:tc>
          <w:tcPr>
            <w:tcW w:w="170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170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170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1700" w:type="dxa"/>
            <w:vAlign w:val="bottom"/>
            <w:shd w:val="clear" w:color="auto" w:fill="CCEEFF"/>
          </w:tcPr>
          <w:p>
            <w:pPr>
              <w:spacing w:after="0"/>
              <w:rPr>
                <w:sz w:val="9"/>
                <w:szCs w:val="9"/>
                <w:color w:val="auto"/>
              </w:rPr>
            </w:pPr>
          </w:p>
        </w:tc>
      </w:tr>
      <w:tr>
        <w:trPr>
          <w:trHeight w:val="206"/>
        </w:trPr>
        <w:tc>
          <w:tcPr>
            <w:tcW w:w="3280" w:type="dxa"/>
            <w:vAlign w:val="bottom"/>
          </w:tcPr>
          <w:p>
            <w:pPr>
              <w:ind w:left="20"/>
              <w:spacing w:after="0"/>
              <w:rPr>
                <w:sz w:val="20"/>
                <w:szCs w:val="20"/>
                <w:color w:val="auto"/>
              </w:rPr>
            </w:pPr>
            <w:r>
              <w:rPr>
                <w:rFonts w:ascii="Arial" w:cs="Arial" w:eastAsia="Arial" w:hAnsi="Arial"/>
                <w:sz w:val="16"/>
                <w:szCs w:val="16"/>
                <w:color w:val="auto"/>
              </w:rPr>
              <w:t>Subscriber equipment sales:</w:t>
            </w:r>
          </w:p>
        </w:tc>
        <w:tc>
          <w:tcPr>
            <w:tcW w:w="20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spacing w:after="0"/>
              <w:rPr>
                <w:sz w:val="17"/>
                <w:szCs w:val="17"/>
                <w:color w:val="auto"/>
              </w:rPr>
            </w:pPr>
          </w:p>
        </w:tc>
      </w:tr>
      <w:tr>
        <w:trPr>
          <w:trHeight w:val="212"/>
        </w:trPr>
        <w:tc>
          <w:tcPr>
            <w:tcW w:w="3280" w:type="dxa"/>
            <w:vAlign w:val="bottom"/>
            <w:shd w:val="clear" w:color="auto" w:fill="CCEEFF"/>
          </w:tcPr>
          <w:p>
            <w:pPr>
              <w:ind w:left="140"/>
              <w:spacing w:after="0"/>
              <w:rPr>
                <w:sz w:val="20"/>
                <w:szCs w:val="20"/>
                <w:color w:val="auto"/>
              </w:rPr>
            </w:pPr>
            <w:r>
              <w:rPr>
                <w:rFonts w:ascii="Arial" w:cs="Arial" w:eastAsia="Arial" w:hAnsi="Arial"/>
                <w:sz w:val="16"/>
                <w:szCs w:val="16"/>
                <w:color w:val="auto"/>
              </w:rPr>
              <w:t>Duplex</w:t>
            </w: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265</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510</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889</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1,539</w:t>
            </w:r>
          </w:p>
        </w:tc>
      </w:tr>
      <w:tr>
        <w:trPr>
          <w:trHeight w:val="206"/>
        </w:trPr>
        <w:tc>
          <w:tcPr>
            <w:tcW w:w="3280" w:type="dxa"/>
            <w:vAlign w:val="bottom"/>
          </w:tcPr>
          <w:p>
            <w:pPr>
              <w:ind w:left="140"/>
              <w:spacing w:after="0"/>
              <w:rPr>
                <w:sz w:val="20"/>
                <w:szCs w:val="20"/>
                <w:color w:val="auto"/>
              </w:rPr>
            </w:pPr>
            <w:r>
              <w:rPr>
                <w:rFonts w:ascii="Arial" w:cs="Arial" w:eastAsia="Arial" w:hAnsi="Arial"/>
                <w:sz w:val="16"/>
                <w:szCs w:val="16"/>
                <w:color w:val="auto"/>
              </w:rPr>
              <w:t>SPOT</w:t>
            </w:r>
          </w:p>
        </w:tc>
        <w:tc>
          <w:tcPr>
            <w:tcW w:w="200" w:type="dxa"/>
            <w:vAlign w:val="bottom"/>
          </w:tcPr>
          <w:p>
            <w:pPr>
              <w:spacing w:after="0"/>
              <w:rPr>
                <w:sz w:val="17"/>
                <w:szCs w:val="17"/>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2,619</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jc w:val="right"/>
              <w:ind w:right="2"/>
              <w:spacing w:after="0"/>
              <w:rPr>
                <w:sz w:val="20"/>
                <w:szCs w:val="20"/>
                <w:color w:val="auto"/>
              </w:rPr>
            </w:pPr>
            <w:r>
              <w:rPr>
                <w:rFonts w:ascii="Arial" w:cs="Arial" w:eastAsia="Arial" w:hAnsi="Arial"/>
                <w:sz w:val="16"/>
                <w:szCs w:val="16"/>
                <w:color w:val="auto"/>
              </w:rPr>
              <w:t>2,602</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6,764</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5,704</w:t>
            </w:r>
          </w:p>
        </w:tc>
      </w:tr>
      <w:tr>
        <w:trPr>
          <w:trHeight w:val="212"/>
        </w:trPr>
        <w:tc>
          <w:tcPr>
            <w:tcW w:w="3280" w:type="dxa"/>
            <w:vAlign w:val="bottom"/>
            <w:shd w:val="clear" w:color="auto" w:fill="CCEEFF"/>
          </w:tcPr>
          <w:p>
            <w:pPr>
              <w:ind w:left="140"/>
              <w:spacing w:after="0"/>
              <w:rPr>
                <w:sz w:val="20"/>
                <w:szCs w:val="20"/>
                <w:color w:val="auto"/>
              </w:rPr>
            </w:pPr>
            <w:r>
              <w:rPr>
                <w:rFonts w:ascii="Arial" w:cs="Arial" w:eastAsia="Arial" w:hAnsi="Arial"/>
                <w:sz w:val="16"/>
                <w:szCs w:val="16"/>
                <w:color w:val="auto"/>
              </w:rPr>
              <w:t>Commercial IoT</w:t>
            </w:r>
          </w:p>
        </w:tc>
        <w:tc>
          <w:tcPr>
            <w:tcW w:w="20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1,841</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1,256</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5,452</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3,608</w:t>
            </w:r>
          </w:p>
        </w:tc>
      </w:tr>
      <w:tr>
        <w:trPr>
          <w:trHeight w:val="206"/>
        </w:trPr>
        <w:tc>
          <w:tcPr>
            <w:tcW w:w="3280" w:type="dxa"/>
            <w:vAlign w:val="bottom"/>
            <w:tcBorders>
              <w:bottom w:val="single" w:sz="8" w:color="CCEEFF"/>
            </w:tcBorders>
          </w:tcPr>
          <w:p>
            <w:pPr>
              <w:ind w:left="140"/>
              <w:spacing w:after="0"/>
              <w:rPr>
                <w:sz w:val="20"/>
                <w:szCs w:val="20"/>
                <w:color w:val="auto"/>
              </w:rPr>
            </w:pPr>
            <w:r>
              <w:rPr>
                <w:rFonts w:ascii="Arial" w:cs="Arial" w:eastAsia="Arial" w:hAnsi="Arial"/>
                <w:sz w:val="16"/>
                <w:szCs w:val="16"/>
                <w:color w:val="auto"/>
              </w:rPr>
              <w:t>Other</w:t>
            </w:r>
          </w:p>
        </w:tc>
        <w:tc>
          <w:tcPr>
            <w:tcW w:w="20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41</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4</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166</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54</w:t>
            </w:r>
          </w:p>
        </w:tc>
      </w:tr>
      <w:tr>
        <w:trPr>
          <w:trHeight w:val="205"/>
        </w:trPr>
        <w:tc>
          <w:tcPr>
            <w:tcW w:w="32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Total subscriber equipment sales</w:t>
            </w:r>
          </w:p>
        </w:tc>
        <w:tc>
          <w:tcPr>
            <w:tcW w:w="200" w:type="dxa"/>
            <w:vAlign w:val="bottom"/>
            <w:shd w:val="clear" w:color="auto" w:fill="CCEEFF"/>
          </w:tcPr>
          <w:p>
            <w:pPr>
              <w:spacing w:after="0"/>
              <w:rPr>
                <w:sz w:val="17"/>
                <w:szCs w:val="17"/>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4,766</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7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4,372</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13,271</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10,905</w:t>
            </w:r>
          </w:p>
        </w:tc>
      </w:tr>
      <w:tr>
        <w:trPr>
          <w:trHeight w:val="105"/>
        </w:trPr>
        <w:tc>
          <w:tcPr>
            <w:tcW w:w="3280" w:type="dxa"/>
            <w:vAlign w:val="bottom"/>
            <w:tcBorders>
              <w:bottom w:val="single" w:sz="8" w:color="CCEEFF"/>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1700" w:type="dxa"/>
            <w:vAlign w:val="bottom"/>
            <w:tcBorders>
              <w:bottom w:val="single" w:sz="8" w:color="auto"/>
            </w:tcBorders>
          </w:tcPr>
          <w:p>
            <w:pPr>
              <w:spacing w:after="0"/>
              <w:rPr>
                <w:sz w:val="9"/>
                <w:szCs w:val="9"/>
                <w:color w:val="auto"/>
              </w:rPr>
            </w:pPr>
          </w:p>
        </w:tc>
        <w:tc>
          <w:tcPr>
            <w:tcW w:w="100" w:type="dxa"/>
            <w:vAlign w:val="bottom"/>
            <w:tcBorders>
              <w:bottom w:val="single" w:sz="8" w:color="CCEEFF"/>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1700" w:type="dxa"/>
            <w:vAlign w:val="bottom"/>
            <w:tcBorders>
              <w:bottom w:val="single" w:sz="8" w:color="auto"/>
            </w:tcBorders>
          </w:tcPr>
          <w:p>
            <w:pPr>
              <w:spacing w:after="0"/>
              <w:rPr>
                <w:sz w:val="9"/>
                <w:szCs w:val="9"/>
                <w:color w:val="auto"/>
              </w:rPr>
            </w:pPr>
          </w:p>
        </w:tc>
        <w:tc>
          <w:tcPr>
            <w:tcW w:w="100" w:type="dxa"/>
            <w:vAlign w:val="bottom"/>
            <w:tcBorders>
              <w:bottom w:val="single" w:sz="8" w:color="CCEEFF"/>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1700" w:type="dxa"/>
            <w:vAlign w:val="bottom"/>
            <w:tcBorders>
              <w:bottom w:val="single" w:sz="8" w:color="auto"/>
            </w:tcBorders>
          </w:tcPr>
          <w:p>
            <w:pPr>
              <w:spacing w:after="0"/>
              <w:rPr>
                <w:sz w:val="9"/>
                <w:szCs w:val="9"/>
                <w:color w:val="auto"/>
              </w:rPr>
            </w:pPr>
          </w:p>
        </w:tc>
        <w:tc>
          <w:tcPr>
            <w:tcW w:w="100" w:type="dxa"/>
            <w:vAlign w:val="bottom"/>
            <w:tcBorders>
              <w:bottom w:val="single" w:sz="8" w:color="CCEEFF"/>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1700" w:type="dxa"/>
            <w:vAlign w:val="bottom"/>
            <w:tcBorders>
              <w:bottom w:val="single" w:sz="8" w:color="auto"/>
            </w:tcBorders>
          </w:tcPr>
          <w:p>
            <w:pPr>
              <w:spacing w:after="0"/>
              <w:rPr>
                <w:sz w:val="9"/>
                <w:szCs w:val="9"/>
                <w:color w:val="auto"/>
              </w:rPr>
            </w:pPr>
          </w:p>
        </w:tc>
      </w:tr>
      <w:tr>
        <w:trPr>
          <w:trHeight w:val="227"/>
        </w:trPr>
        <w:tc>
          <w:tcPr>
            <w:tcW w:w="3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 revenue</w:t>
            </w:r>
          </w:p>
        </w:tc>
        <w:tc>
          <w:tcPr>
            <w:tcW w:w="200" w:type="dxa"/>
            <w:vAlign w:val="bottom"/>
            <w:tcBorders>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32,614</w:t>
            </w:r>
          </w:p>
        </w:tc>
        <w:tc>
          <w:tcPr>
            <w:tcW w:w="10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32,757</w:t>
            </w:r>
          </w:p>
        </w:tc>
        <w:tc>
          <w:tcPr>
            <w:tcW w:w="10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89,822</w:t>
            </w:r>
          </w:p>
        </w:tc>
        <w:tc>
          <w:tcPr>
            <w:tcW w:w="10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95,315</w:t>
            </w:r>
          </w:p>
        </w:tc>
      </w:tr>
      <w:tr>
        <w:trPr>
          <w:trHeight w:val="20"/>
        </w:trPr>
        <w:tc>
          <w:tcPr>
            <w:tcW w:w="32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11" w:name="page12"/>
    <w:bookmarkEnd w:id="11"/>
    <w:p>
      <w:pPr>
        <w:jc w:val="both"/>
        <w:ind w:firstLine="235"/>
        <w:spacing w:after="0" w:line="272" w:lineRule="auto"/>
        <w:rPr>
          <w:sz w:val="20"/>
          <w:szCs w:val="20"/>
          <w:color w:val="auto"/>
        </w:rPr>
      </w:pPr>
      <w:r>
        <w:rPr>
          <w:rFonts w:ascii="Arial" w:cs="Arial" w:eastAsia="Arial" w:hAnsi="Arial"/>
          <w:sz w:val="17"/>
          <w:szCs w:val="17"/>
          <w:color w:val="auto"/>
        </w:rPr>
        <w:t>The Company attributes equipment revenue to various countries based on the location where equipment is sold. Service revenue is generally attributed to the various countries based on the Globalstar entity that holds the customer contract. The following table discloses revenue disaggregated by geographical market (amounts in thousands):</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328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3720" w:type="dxa"/>
            <w:vAlign w:val="bottom"/>
            <w:tcBorders>
              <w:bottom w:val="single" w:sz="8" w:color="auto"/>
            </w:tcBorders>
            <w:gridSpan w:val="4"/>
          </w:tcPr>
          <w:p>
            <w:pPr>
              <w:jc w:val="right"/>
              <w:ind w:right="1222"/>
              <w:spacing w:after="0"/>
              <w:rPr>
                <w:sz w:val="20"/>
                <w:szCs w:val="20"/>
                <w:color w:val="auto"/>
              </w:rPr>
            </w:pPr>
            <w:r>
              <w:rPr>
                <w:rFonts w:ascii="Arial" w:cs="Arial" w:eastAsia="Arial" w:hAnsi="Arial"/>
                <w:sz w:val="16"/>
                <w:szCs w:val="16"/>
                <w:color w:val="auto"/>
              </w:rPr>
              <w:t>Three Months Ended</w:t>
            </w:r>
          </w:p>
        </w:tc>
        <w:tc>
          <w:tcPr>
            <w:tcW w:w="10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3720" w:type="dxa"/>
            <w:vAlign w:val="bottom"/>
            <w:tcBorders>
              <w:bottom w:val="single" w:sz="8" w:color="auto"/>
            </w:tcBorders>
            <w:gridSpan w:val="4"/>
          </w:tcPr>
          <w:p>
            <w:pPr>
              <w:jc w:val="right"/>
              <w:ind w:right="1262"/>
              <w:spacing w:after="0"/>
              <w:rPr>
                <w:sz w:val="20"/>
                <w:szCs w:val="20"/>
                <w:color w:val="auto"/>
              </w:rPr>
            </w:pPr>
            <w:r>
              <w:rPr>
                <w:rFonts w:ascii="Arial" w:cs="Arial" w:eastAsia="Arial" w:hAnsi="Arial"/>
                <w:sz w:val="16"/>
                <w:szCs w:val="16"/>
                <w:color w:val="auto"/>
              </w:rPr>
              <w:t>Nine Months Ended</w:t>
            </w:r>
          </w:p>
        </w:tc>
      </w:tr>
      <w:tr>
        <w:trPr>
          <w:trHeight w:val="202"/>
        </w:trPr>
        <w:tc>
          <w:tcPr>
            <w:tcW w:w="32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0" w:type="dxa"/>
            <w:vAlign w:val="bottom"/>
            <w:gridSpan w:val="2"/>
          </w:tcPr>
          <w:p>
            <w:pPr>
              <w:ind w:left="120"/>
              <w:spacing w:after="0"/>
              <w:rPr>
                <w:sz w:val="20"/>
                <w:szCs w:val="20"/>
                <w:color w:val="auto"/>
              </w:rPr>
            </w:pPr>
            <w:r>
              <w:rPr>
                <w:rFonts w:ascii="Arial" w:cs="Arial" w:eastAsia="Arial" w:hAnsi="Arial"/>
                <w:sz w:val="16"/>
                <w:szCs w:val="16"/>
                <w:color w:val="auto"/>
              </w:rPr>
              <w:t>September 30, 2021</w:t>
            </w:r>
          </w:p>
        </w:tc>
        <w:tc>
          <w:tcPr>
            <w:tcW w:w="220" w:type="dxa"/>
            <w:vAlign w:val="bottom"/>
          </w:tcPr>
          <w:p>
            <w:pPr>
              <w:spacing w:after="0"/>
              <w:rPr>
                <w:sz w:val="17"/>
                <w:szCs w:val="17"/>
                <w:color w:val="auto"/>
              </w:rPr>
            </w:pPr>
          </w:p>
        </w:tc>
        <w:tc>
          <w:tcPr>
            <w:tcW w:w="1800" w:type="dxa"/>
            <w:vAlign w:val="bottom"/>
            <w:gridSpan w:val="2"/>
          </w:tcPr>
          <w:p>
            <w:pPr>
              <w:ind w:left="100"/>
              <w:spacing w:after="0"/>
              <w:rPr>
                <w:sz w:val="20"/>
                <w:szCs w:val="20"/>
                <w:color w:val="auto"/>
              </w:rPr>
            </w:pPr>
            <w:r>
              <w:rPr>
                <w:rFonts w:ascii="Arial" w:cs="Arial" w:eastAsia="Arial" w:hAnsi="Arial"/>
                <w:sz w:val="16"/>
                <w:szCs w:val="16"/>
                <w:color w:val="auto"/>
              </w:rPr>
              <w:t>September 30, 2020</w:t>
            </w:r>
          </w:p>
        </w:tc>
        <w:tc>
          <w:tcPr>
            <w:tcW w:w="220" w:type="dxa"/>
            <w:vAlign w:val="bottom"/>
          </w:tcPr>
          <w:p>
            <w:pPr>
              <w:spacing w:after="0"/>
              <w:rPr>
                <w:sz w:val="17"/>
                <w:szCs w:val="17"/>
                <w:color w:val="auto"/>
              </w:rPr>
            </w:pPr>
          </w:p>
        </w:tc>
        <w:tc>
          <w:tcPr>
            <w:tcW w:w="1800" w:type="dxa"/>
            <w:vAlign w:val="bottom"/>
            <w:gridSpan w:val="2"/>
          </w:tcPr>
          <w:p>
            <w:pPr>
              <w:ind w:left="100"/>
              <w:spacing w:after="0"/>
              <w:rPr>
                <w:sz w:val="20"/>
                <w:szCs w:val="20"/>
                <w:color w:val="auto"/>
              </w:rPr>
            </w:pPr>
            <w:r>
              <w:rPr>
                <w:rFonts w:ascii="Arial" w:cs="Arial" w:eastAsia="Arial" w:hAnsi="Arial"/>
                <w:sz w:val="16"/>
                <w:szCs w:val="16"/>
                <w:color w:val="auto"/>
              </w:rPr>
              <w:t>September 30, 2021</w:t>
            </w:r>
          </w:p>
        </w:tc>
        <w:tc>
          <w:tcPr>
            <w:tcW w:w="220" w:type="dxa"/>
            <w:vAlign w:val="bottom"/>
          </w:tcPr>
          <w:p>
            <w:pPr>
              <w:spacing w:after="0"/>
              <w:rPr>
                <w:sz w:val="17"/>
                <w:szCs w:val="17"/>
                <w:color w:val="auto"/>
              </w:rPr>
            </w:pPr>
          </w:p>
        </w:tc>
        <w:tc>
          <w:tcPr>
            <w:tcW w:w="1700" w:type="dxa"/>
            <w:vAlign w:val="bottom"/>
          </w:tcPr>
          <w:p>
            <w:pPr>
              <w:jc w:val="right"/>
              <w:ind w:right="242"/>
              <w:spacing w:after="0"/>
              <w:rPr>
                <w:sz w:val="20"/>
                <w:szCs w:val="20"/>
                <w:color w:val="auto"/>
              </w:rPr>
            </w:pPr>
            <w:r>
              <w:rPr>
                <w:rFonts w:ascii="Arial" w:cs="Arial" w:eastAsia="Arial" w:hAnsi="Arial"/>
                <w:sz w:val="16"/>
                <w:szCs w:val="16"/>
                <w:color w:val="auto"/>
                <w:w w:val="93"/>
              </w:rPr>
              <w:t>September 30, 2020</w:t>
            </w:r>
          </w:p>
        </w:tc>
      </w:tr>
      <w:tr>
        <w:trPr>
          <w:trHeight w:val="192"/>
        </w:trPr>
        <w:tc>
          <w:tcPr>
            <w:tcW w:w="32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Service revenue:</w:t>
            </w:r>
          </w:p>
        </w:tc>
        <w:tc>
          <w:tcPr>
            <w:tcW w:w="200" w:type="dxa"/>
            <w:vAlign w:val="bottom"/>
            <w:tcBorders>
              <w:top w:val="single" w:sz="8" w:color="auto"/>
            </w:tcBorders>
            <w:shd w:val="clear" w:color="auto" w:fill="CCEEFF"/>
          </w:tcPr>
          <w:p>
            <w:pPr>
              <w:spacing w:after="0"/>
              <w:rPr>
                <w:sz w:val="16"/>
                <w:szCs w:val="16"/>
                <w:color w:val="auto"/>
              </w:rPr>
            </w:pPr>
          </w:p>
        </w:tc>
        <w:tc>
          <w:tcPr>
            <w:tcW w:w="17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17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17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1700" w:type="dxa"/>
            <w:vAlign w:val="bottom"/>
            <w:tcBorders>
              <w:top w:val="single" w:sz="8" w:color="auto"/>
            </w:tcBorders>
            <w:shd w:val="clear" w:color="auto" w:fill="CCEEFF"/>
          </w:tcPr>
          <w:p>
            <w:pPr>
              <w:spacing w:after="0"/>
              <w:rPr>
                <w:sz w:val="16"/>
                <w:szCs w:val="16"/>
                <w:color w:val="auto"/>
              </w:rPr>
            </w:pPr>
          </w:p>
        </w:tc>
      </w:tr>
      <w:tr>
        <w:trPr>
          <w:trHeight w:val="206"/>
        </w:trPr>
        <w:tc>
          <w:tcPr>
            <w:tcW w:w="3280" w:type="dxa"/>
            <w:vAlign w:val="bottom"/>
          </w:tcPr>
          <w:p>
            <w:pPr>
              <w:ind w:left="140"/>
              <w:spacing w:after="0"/>
              <w:rPr>
                <w:sz w:val="20"/>
                <w:szCs w:val="20"/>
                <w:color w:val="auto"/>
              </w:rPr>
            </w:pPr>
            <w:r>
              <w:rPr>
                <w:rFonts w:ascii="Arial" w:cs="Arial" w:eastAsia="Arial" w:hAnsi="Arial"/>
                <w:sz w:val="16"/>
                <w:szCs w:val="16"/>
                <w:color w:val="auto"/>
              </w:rPr>
              <w:t>United States</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1700" w:type="dxa"/>
            <w:vAlign w:val="bottom"/>
          </w:tcPr>
          <w:p>
            <w:pPr>
              <w:jc w:val="right"/>
              <w:spacing w:after="0"/>
              <w:rPr>
                <w:sz w:val="20"/>
                <w:szCs w:val="20"/>
                <w:color w:val="auto"/>
              </w:rPr>
            </w:pPr>
            <w:r>
              <w:rPr>
                <w:rFonts w:ascii="Arial" w:cs="Arial" w:eastAsia="Arial" w:hAnsi="Arial"/>
                <w:sz w:val="16"/>
                <w:szCs w:val="16"/>
                <w:color w:val="auto"/>
              </w:rPr>
              <w:t>19,677</w:t>
            </w:r>
          </w:p>
        </w:tc>
        <w:tc>
          <w:tcPr>
            <w:tcW w:w="100" w:type="dxa"/>
            <w:vAlign w:val="bottom"/>
          </w:tcPr>
          <w:p>
            <w:pPr>
              <w:spacing w:after="0"/>
              <w:rPr>
                <w:sz w:val="17"/>
                <w:szCs w:val="17"/>
                <w:color w:val="auto"/>
              </w:rPr>
            </w:pPr>
          </w:p>
        </w:tc>
        <w:tc>
          <w:tcPr>
            <w:tcW w:w="220" w:type="dxa"/>
            <w:vAlign w:val="bottom"/>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Pr>
          <w:p>
            <w:pPr>
              <w:jc w:val="right"/>
              <w:ind w:right="2"/>
              <w:spacing w:after="0"/>
              <w:rPr>
                <w:sz w:val="20"/>
                <w:szCs w:val="20"/>
                <w:color w:val="auto"/>
              </w:rPr>
            </w:pPr>
            <w:r>
              <w:rPr>
                <w:rFonts w:ascii="Arial" w:cs="Arial" w:eastAsia="Arial" w:hAnsi="Arial"/>
                <w:sz w:val="16"/>
                <w:szCs w:val="16"/>
                <w:color w:val="auto"/>
              </w:rPr>
              <w:t>19,958</w:t>
            </w:r>
          </w:p>
        </w:tc>
        <w:tc>
          <w:tcPr>
            <w:tcW w:w="100" w:type="dxa"/>
            <w:vAlign w:val="bottom"/>
          </w:tcPr>
          <w:p>
            <w:pPr>
              <w:spacing w:after="0"/>
              <w:rPr>
                <w:sz w:val="17"/>
                <w:szCs w:val="17"/>
                <w:color w:val="auto"/>
              </w:rPr>
            </w:pPr>
          </w:p>
        </w:tc>
        <w:tc>
          <w:tcPr>
            <w:tcW w:w="220" w:type="dxa"/>
            <w:vAlign w:val="bottom"/>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Pr>
          <w:p>
            <w:pPr>
              <w:jc w:val="right"/>
              <w:spacing w:after="0"/>
              <w:rPr>
                <w:sz w:val="20"/>
                <w:szCs w:val="20"/>
                <w:color w:val="auto"/>
              </w:rPr>
            </w:pPr>
            <w:r>
              <w:rPr>
                <w:rFonts w:ascii="Arial" w:cs="Arial" w:eastAsia="Arial" w:hAnsi="Arial"/>
                <w:sz w:val="16"/>
                <w:szCs w:val="16"/>
                <w:color w:val="auto"/>
              </w:rPr>
              <w:t>54,348</w:t>
            </w:r>
          </w:p>
        </w:tc>
        <w:tc>
          <w:tcPr>
            <w:tcW w:w="100" w:type="dxa"/>
            <w:vAlign w:val="bottom"/>
          </w:tcPr>
          <w:p>
            <w:pPr>
              <w:spacing w:after="0"/>
              <w:rPr>
                <w:sz w:val="17"/>
                <w:szCs w:val="17"/>
                <w:color w:val="auto"/>
              </w:rPr>
            </w:pPr>
          </w:p>
        </w:tc>
        <w:tc>
          <w:tcPr>
            <w:tcW w:w="220" w:type="dxa"/>
            <w:vAlign w:val="bottom"/>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Pr>
          <w:p>
            <w:pPr>
              <w:jc w:val="right"/>
              <w:spacing w:after="0"/>
              <w:rPr>
                <w:sz w:val="20"/>
                <w:szCs w:val="20"/>
                <w:color w:val="auto"/>
              </w:rPr>
            </w:pPr>
            <w:r>
              <w:rPr>
                <w:rFonts w:ascii="Arial" w:cs="Arial" w:eastAsia="Arial" w:hAnsi="Arial"/>
                <w:sz w:val="16"/>
                <w:szCs w:val="16"/>
                <w:color w:val="auto"/>
              </w:rPr>
              <w:t>62,663</w:t>
            </w:r>
          </w:p>
        </w:tc>
      </w:tr>
      <w:tr>
        <w:trPr>
          <w:trHeight w:val="212"/>
        </w:trPr>
        <w:tc>
          <w:tcPr>
            <w:tcW w:w="3280" w:type="dxa"/>
            <w:vAlign w:val="bottom"/>
            <w:shd w:val="clear" w:color="auto" w:fill="CCEEFF"/>
          </w:tcPr>
          <w:p>
            <w:pPr>
              <w:ind w:left="140"/>
              <w:spacing w:after="0"/>
              <w:rPr>
                <w:sz w:val="20"/>
                <w:szCs w:val="20"/>
                <w:color w:val="auto"/>
              </w:rPr>
            </w:pPr>
            <w:r>
              <w:rPr>
                <w:rFonts w:ascii="Arial" w:cs="Arial" w:eastAsia="Arial" w:hAnsi="Arial"/>
                <w:sz w:val="16"/>
                <w:szCs w:val="16"/>
                <w:color w:val="auto"/>
              </w:rPr>
              <w:t>Canada</w:t>
            </w:r>
          </w:p>
        </w:tc>
        <w:tc>
          <w:tcPr>
            <w:tcW w:w="20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5,236</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5,522</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13,442</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13,885</w:t>
            </w:r>
          </w:p>
        </w:tc>
      </w:tr>
      <w:tr>
        <w:trPr>
          <w:trHeight w:val="206"/>
        </w:trPr>
        <w:tc>
          <w:tcPr>
            <w:tcW w:w="3280" w:type="dxa"/>
            <w:vAlign w:val="bottom"/>
          </w:tcPr>
          <w:p>
            <w:pPr>
              <w:ind w:left="140"/>
              <w:spacing w:after="0"/>
              <w:rPr>
                <w:sz w:val="20"/>
                <w:szCs w:val="20"/>
                <w:color w:val="auto"/>
              </w:rPr>
            </w:pPr>
            <w:r>
              <w:rPr>
                <w:rFonts w:ascii="Arial" w:cs="Arial" w:eastAsia="Arial" w:hAnsi="Arial"/>
                <w:sz w:val="16"/>
                <w:szCs w:val="16"/>
                <w:color w:val="auto"/>
              </w:rPr>
              <w:t>Europe</w:t>
            </w:r>
          </w:p>
        </w:tc>
        <w:tc>
          <w:tcPr>
            <w:tcW w:w="200" w:type="dxa"/>
            <w:vAlign w:val="bottom"/>
          </w:tcPr>
          <w:p>
            <w:pPr>
              <w:spacing w:after="0"/>
              <w:rPr>
                <w:sz w:val="17"/>
                <w:szCs w:val="17"/>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2,039</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jc w:val="right"/>
              <w:ind w:right="2"/>
              <w:spacing w:after="0"/>
              <w:rPr>
                <w:sz w:val="20"/>
                <w:szCs w:val="20"/>
                <w:color w:val="auto"/>
              </w:rPr>
            </w:pPr>
            <w:r>
              <w:rPr>
                <w:rFonts w:ascii="Arial" w:cs="Arial" w:eastAsia="Arial" w:hAnsi="Arial"/>
                <w:sz w:val="16"/>
                <w:szCs w:val="16"/>
                <w:color w:val="auto"/>
              </w:rPr>
              <w:t>2,057</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5,607</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5,209</w:t>
            </w:r>
          </w:p>
        </w:tc>
      </w:tr>
      <w:tr>
        <w:trPr>
          <w:trHeight w:val="212"/>
        </w:trPr>
        <w:tc>
          <w:tcPr>
            <w:tcW w:w="3280" w:type="dxa"/>
            <w:vAlign w:val="bottom"/>
            <w:shd w:val="clear" w:color="auto" w:fill="CCEEFF"/>
          </w:tcPr>
          <w:p>
            <w:pPr>
              <w:ind w:left="140"/>
              <w:spacing w:after="0"/>
              <w:rPr>
                <w:sz w:val="20"/>
                <w:szCs w:val="20"/>
                <w:color w:val="auto"/>
              </w:rPr>
            </w:pPr>
            <w:r>
              <w:rPr>
                <w:rFonts w:ascii="Arial" w:cs="Arial" w:eastAsia="Arial" w:hAnsi="Arial"/>
                <w:sz w:val="16"/>
                <w:szCs w:val="16"/>
                <w:color w:val="auto"/>
              </w:rPr>
              <w:t>Central and South America</w:t>
            </w:r>
          </w:p>
        </w:tc>
        <w:tc>
          <w:tcPr>
            <w:tcW w:w="20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996</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623</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2,592</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2,002</w:t>
            </w:r>
          </w:p>
        </w:tc>
      </w:tr>
      <w:tr>
        <w:trPr>
          <w:trHeight w:val="206"/>
        </w:trPr>
        <w:tc>
          <w:tcPr>
            <w:tcW w:w="3280" w:type="dxa"/>
            <w:vAlign w:val="bottom"/>
            <w:tcBorders>
              <w:bottom w:val="single" w:sz="8" w:color="CCEEFF"/>
            </w:tcBorders>
          </w:tcPr>
          <w:p>
            <w:pPr>
              <w:ind w:left="140"/>
              <w:spacing w:after="0"/>
              <w:rPr>
                <w:sz w:val="20"/>
                <w:szCs w:val="20"/>
                <w:color w:val="auto"/>
              </w:rPr>
            </w:pPr>
            <w:r>
              <w:rPr>
                <w:rFonts w:ascii="Arial" w:cs="Arial" w:eastAsia="Arial" w:hAnsi="Arial"/>
                <w:sz w:val="16"/>
                <w:szCs w:val="16"/>
                <w:color w:val="auto"/>
              </w:rPr>
              <w:t>Others</w:t>
            </w:r>
          </w:p>
        </w:tc>
        <w:tc>
          <w:tcPr>
            <w:tcW w:w="20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(100)</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225</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562</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651</w:t>
            </w:r>
          </w:p>
        </w:tc>
      </w:tr>
      <w:tr>
        <w:trPr>
          <w:trHeight w:val="205"/>
        </w:trPr>
        <w:tc>
          <w:tcPr>
            <w:tcW w:w="32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Total service revenue</w:t>
            </w:r>
          </w:p>
        </w:tc>
        <w:tc>
          <w:tcPr>
            <w:tcW w:w="200" w:type="dxa"/>
            <w:vAlign w:val="bottom"/>
            <w:shd w:val="clear" w:color="auto" w:fill="CCEEFF"/>
          </w:tcPr>
          <w:p>
            <w:pPr>
              <w:spacing w:after="0"/>
              <w:rPr>
                <w:sz w:val="17"/>
                <w:szCs w:val="17"/>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27,848</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7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28,385</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76,551</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84,410</w:t>
            </w:r>
          </w:p>
        </w:tc>
      </w:tr>
      <w:tr>
        <w:trPr>
          <w:trHeight w:val="105"/>
        </w:trPr>
        <w:tc>
          <w:tcPr>
            <w:tcW w:w="3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7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7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7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700" w:type="dxa"/>
            <w:vAlign w:val="bottom"/>
          </w:tcPr>
          <w:p>
            <w:pPr>
              <w:spacing w:after="0"/>
              <w:rPr>
                <w:sz w:val="9"/>
                <w:szCs w:val="9"/>
                <w:color w:val="auto"/>
              </w:rPr>
            </w:pPr>
          </w:p>
        </w:tc>
      </w:tr>
      <w:tr>
        <w:trPr>
          <w:trHeight w:val="209"/>
        </w:trPr>
        <w:tc>
          <w:tcPr>
            <w:tcW w:w="3280" w:type="dxa"/>
            <w:vAlign w:val="bottom"/>
            <w:shd w:val="clear" w:color="auto" w:fill="CCEEFF"/>
          </w:tcPr>
          <w:p>
            <w:pPr>
              <w:ind w:left="20"/>
              <w:spacing w:after="0"/>
              <w:rPr>
                <w:sz w:val="20"/>
                <w:szCs w:val="20"/>
                <w:color w:val="auto"/>
              </w:rPr>
            </w:pPr>
            <w:r>
              <w:rPr>
                <w:rFonts w:ascii="Arial" w:cs="Arial" w:eastAsia="Arial" w:hAnsi="Arial"/>
                <w:sz w:val="16"/>
                <w:szCs w:val="16"/>
                <w:color w:val="auto"/>
              </w:rPr>
              <w:t>Subscriber equipment sales:</w:t>
            </w:r>
          </w:p>
        </w:tc>
        <w:tc>
          <w:tcPr>
            <w:tcW w:w="20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18"/>
                <w:szCs w:val="18"/>
                <w:color w:val="auto"/>
              </w:rPr>
            </w:pPr>
          </w:p>
        </w:tc>
      </w:tr>
      <w:tr>
        <w:trPr>
          <w:trHeight w:val="206"/>
        </w:trPr>
        <w:tc>
          <w:tcPr>
            <w:tcW w:w="3280" w:type="dxa"/>
            <w:vAlign w:val="bottom"/>
          </w:tcPr>
          <w:p>
            <w:pPr>
              <w:ind w:left="140"/>
              <w:spacing w:after="0"/>
              <w:rPr>
                <w:sz w:val="20"/>
                <w:szCs w:val="20"/>
                <w:color w:val="auto"/>
              </w:rPr>
            </w:pPr>
            <w:r>
              <w:rPr>
                <w:rFonts w:ascii="Arial" w:cs="Arial" w:eastAsia="Arial" w:hAnsi="Arial"/>
                <w:sz w:val="16"/>
                <w:szCs w:val="16"/>
                <w:color w:val="auto"/>
              </w:rPr>
              <w:t>United States</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1700" w:type="dxa"/>
            <w:vAlign w:val="bottom"/>
          </w:tcPr>
          <w:p>
            <w:pPr>
              <w:jc w:val="right"/>
              <w:spacing w:after="0"/>
              <w:rPr>
                <w:sz w:val="20"/>
                <w:szCs w:val="20"/>
                <w:color w:val="auto"/>
              </w:rPr>
            </w:pPr>
            <w:r>
              <w:rPr>
                <w:rFonts w:ascii="Arial" w:cs="Arial" w:eastAsia="Arial" w:hAnsi="Arial"/>
                <w:sz w:val="16"/>
                <w:szCs w:val="16"/>
                <w:color w:val="auto"/>
              </w:rPr>
              <w:t>3,130</w:t>
            </w:r>
          </w:p>
        </w:tc>
        <w:tc>
          <w:tcPr>
            <w:tcW w:w="100" w:type="dxa"/>
            <w:vAlign w:val="bottom"/>
          </w:tcPr>
          <w:p>
            <w:pPr>
              <w:spacing w:after="0"/>
              <w:rPr>
                <w:sz w:val="17"/>
                <w:szCs w:val="17"/>
                <w:color w:val="auto"/>
              </w:rPr>
            </w:pPr>
          </w:p>
        </w:tc>
        <w:tc>
          <w:tcPr>
            <w:tcW w:w="220" w:type="dxa"/>
            <w:vAlign w:val="bottom"/>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Pr>
          <w:p>
            <w:pPr>
              <w:jc w:val="right"/>
              <w:ind w:right="2"/>
              <w:spacing w:after="0"/>
              <w:rPr>
                <w:sz w:val="20"/>
                <w:szCs w:val="20"/>
                <w:color w:val="auto"/>
              </w:rPr>
            </w:pPr>
            <w:r>
              <w:rPr>
                <w:rFonts w:ascii="Arial" w:cs="Arial" w:eastAsia="Arial" w:hAnsi="Arial"/>
                <w:sz w:val="16"/>
                <w:szCs w:val="16"/>
                <w:color w:val="auto"/>
              </w:rPr>
              <w:t>2,657</w:t>
            </w:r>
          </w:p>
        </w:tc>
        <w:tc>
          <w:tcPr>
            <w:tcW w:w="100" w:type="dxa"/>
            <w:vAlign w:val="bottom"/>
          </w:tcPr>
          <w:p>
            <w:pPr>
              <w:spacing w:after="0"/>
              <w:rPr>
                <w:sz w:val="17"/>
                <w:szCs w:val="17"/>
                <w:color w:val="auto"/>
              </w:rPr>
            </w:pPr>
          </w:p>
        </w:tc>
        <w:tc>
          <w:tcPr>
            <w:tcW w:w="220" w:type="dxa"/>
            <w:vAlign w:val="bottom"/>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Pr>
          <w:p>
            <w:pPr>
              <w:jc w:val="right"/>
              <w:spacing w:after="0"/>
              <w:rPr>
                <w:sz w:val="20"/>
                <w:szCs w:val="20"/>
                <w:color w:val="auto"/>
              </w:rPr>
            </w:pPr>
            <w:r>
              <w:rPr>
                <w:rFonts w:ascii="Arial" w:cs="Arial" w:eastAsia="Arial" w:hAnsi="Arial"/>
                <w:sz w:val="16"/>
                <w:szCs w:val="16"/>
                <w:color w:val="auto"/>
              </w:rPr>
              <w:t>7,740</w:t>
            </w:r>
          </w:p>
        </w:tc>
        <w:tc>
          <w:tcPr>
            <w:tcW w:w="100" w:type="dxa"/>
            <w:vAlign w:val="bottom"/>
          </w:tcPr>
          <w:p>
            <w:pPr>
              <w:spacing w:after="0"/>
              <w:rPr>
                <w:sz w:val="17"/>
                <w:szCs w:val="17"/>
                <w:color w:val="auto"/>
              </w:rPr>
            </w:pPr>
          </w:p>
        </w:tc>
        <w:tc>
          <w:tcPr>
            <w:tcW w:w="220" w:type="dxa"/>
            <w:vAlign w:val="bottom"/>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Pr>
          <w:p>
            <w:pPr>
              <w:jc w:val="right"/>
              <w:spacing w:after="0"/>
              <w:rPr>
                <w:sz w:val="20"/>
                <w:szCs w:val="20"/>
                <w:color w:val="auto"/>
              </w:rPr>
            </w:pPr>
            <w:r>
              <w:rPr>
                <w:rFonts w:ascii="Arial" w:cs="Arial" w:eastAsia="Arial" w:hAnsi="Arial"/>
                <w:sz w:val="16"/>
                <w:szCs w:val="16"/>
                <w:color w:val="auto"/>
              </w:rPr>
              <w:t>5,821</w:t>
            </w:r>
          </w:p>
        </w:tc>
      </w:tr>
      <w:tr>
        <w:trPr>
          <w:trHeight w:val="212"/>
        </w:trPr>
        <w:tc>
          <w:tcPr>
            <w:tcW w:w="3280" w:type="dxa"/>
            <w:vAlign w:val="bottom"/>
            <w:shd w:val="clear" w:color="auto" w:fill="CCEEFF"/>
          </w:tcPr>
          <w:p>
            <w:pPr>
              <w:ind w:left="140"/>
              <w:spacing w:after="0"/>
              <w:rPr>
                <w:sz w:val="20"/>
                <w:szCs w:val="20"/>
                <w:color w:val="auto"/>
              </w:rPr>
            </w:pPr>
            <w:r>
              <w:rPr>
                <w:rFonts w:ascii="Arial" w:cs="Arial" w:eastAsia="Arial" w:hAnsi="Arial"/>
                <w:sz w:val="16"/>
                <w:szCs w:val="16"/>
                <w:color w:val="auto"/>
              </w:rPr>
              <w:t>Canada</w:t>
            </w:r>
          </w:p>
        </w:tc>
        <w:tc>
          <w:tcPr>
            <w:tcW w:w="20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563</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906</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2,430</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2,848</w:t>
            </w:r>
          </w:p>
        </w:tc>
      </w:tr>
      <w:tr>
        <w:trPr>
          <w:trHeight w:val="206"/>
        </w:trPr>
        <w:tc>
          <w:tcPr>
            <w:tcW w:w="3280" w:type="dxa"/>
            <w:vAlign w:val="bottom"/>
          </w:tcPr>
          <w:p>
            <w:pPr>
              <w:ind w:left="140"/>
              <w:spacing w:after="0"/>
              <w:rPr>
                <w:sz w:val="20"/>
                <w:szCs w:val="20"/>
                <w:color w:val="auto"/>
              </w:rPr>
            </w:pPr>
            <w:r>
              <w:rPr>
                <w:rFonts w:ascii="Arial" w:cs="Arial" w:eastAsia="Arial" w:hAnsi="Arial"/>
                <w:sz w:val="16"/>
                <w:szCs w:val="16"/>
                <w:color w:val="auto"/>
              </w:rPr>
              <w:t>Europe</w:t>
            </w:r>
          </w:p>
        </w:tc>
        <w:tc>
          <w:tcPr>
            <w:tcW w:w="200" w:type="dxa"/>
            <w:vAlign w:val="bottom"/>
          </w:tcPr>
          <w:p>
            <w:pPr>
              <w:spacing w:after="0"/>
              <w:rPr>
                <w:sz w:val="17"/>
                <w:szCs w:val="17"/>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505</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jc w:val="right"/>
              <w:ind w:right="2"/>
              <w:spacing w:after="0"/>
              <w:rPr>
                <w:sz w:val="20"/>
                <w:szCs w:val="20"/>
                <w:color w:val="auto"/>
              </w:rPr>
            </w:pPr>
            <w:r>
              <w:rPr>
                <w:rFonts w:ascii="Arial" w:cs="Arial" w:eastAsia="Arial" w:hAnsi="Arial"/>
                <w:sz w:val="16"/>
                <w:szCs w:val="16"/>
                <w:color w:val="auto"/>
              </w:rPr>
              <w:t>326</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1,511</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1,196</w:t>
            </w:r>
          </w:p>
        </w:tc>
      </w:tr>
      <w:tr>
        <w:trPr>
          <w:trHeight w:val="212"/>
        </w:trPr>
        <w:tc>
          <w:tcPr>
            <w:tcW w:w="3280" w:type="dxa"/>
            <w:vAlign w:val="bottom"/>
            <w:shd w:val="clear" w:color="auto" w:fill="CCEEFF"/>
          </w:tcPr>
          <w:p>
            <w:pPr>
              <w:ind w:left="140"/>
              <w:spacing w:after="0"/>
              <w:rPr>
                <w:sz w:val="20"/>
                <w:szCs w:val="20"/>
                <w:color w:val="auto"/>
              </w:rPr>
            </w:pPr>
            <w:r>
              <w:rPr>
                <w:rFonts w:ascii="Arial" w:cs="Arial" w:eastAsia="Arial" w:hAnsi="Arial"/>
                <w:sz w:val="16"/>
                <w:szCs w:val="16"/>
                <w:color w:val="auto"/>
              </w:rPr>
              <w:t>Central and South America</w:t>
            </w:r>
          </w:p>
        </w:tc>
        <w:tc>
          <w:tcPr>
            <w:tcW w:w="20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546</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465</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1,538</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1,037</w:t>
            </w:r>
          </w:p>
        </w:tc>
      </w:tr>
      <w:tr>
        <w:trPr>
          <w:trHeight w:val="206"/>
        </w:trPr>
        <w:tc>
          <w:tcPr>
            <w:tcW w:w="3280" w:type="dxa"/>
            <w:vAlign w:val="bottom"/>
            <w:tcBorders>
              <w:bottom w:val="single" w:sz="8" w:color="CCEEFF"/>
            </w:tcBorders>
          </w:tcPr>
          <w:p>
            <w:pPr>
              <w:ind w:left="140"/>
              <w:spacing w:after="0"/>
              <w:rPr>
                <w:sz w:val="20"/>
                <w:szCs w:val="20"/>
                <w:color w:val="auto"/>
              </w:rPr>
            </w:pPr>
            <w:r>
              <w:rPr>
                <w:rFonts w:ascii="Arial" w:cs="Arial" w:eastAsia="Arial" w:hAnsi="Arial"/>
                <w:sz w:val="16"/>
                <w:szCs w:val="16"/>
                <w:color w:val="auto"/>
              </w:rPr>
              <w:t>Others</w:t>
            </w:r>
          </w:p>
        </w:tc>
        <w:tc>
          <w:tcPr>
            <w:tcW w:w="20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18</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w:t>
            </w:r>
          </w:p>
        </w:tc>
      </w:tr>
      <w:tr>
        <w:trPr>
          <w:trHeight w:val="205"/>
        </w:trPr>
        <w:tc>
          <w:tcPr>
            <w:tcW w:w="32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Total subscriber equipment sales</w:t>
            </w:r>
          </w:p>
        </w:tc>
        <w:tc>
          <w:tcPr>
            <w:tcW w:w="200" w:type="dxa"/>
            <w:vAlign w:val="bottom"/>
            <w:shd w:val="clear" w:color="auto" w:fill="CCEEFF"/>
          </w:tcPr>
          <w:p>
            <w:pPr>
              <w:spacing w:after="0"/>
              <w:rPr>
                <w:sz w:val="17"/>
                <w:szCs w:val="17"/>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4,766</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7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4,372</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13,271</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10,905</w:t>
            </w:r>
          </w:p>
        </w:tc>
      </w:tr>
      <w:tr>
        <w:trPr>
          <w:trHeight w:val="105"/>
        </w:trPr>
        <w:tc>
          <w:tcPr>
            <w:tcW w:w="3280" w:type="dxa"/>
            <w:vAlign w:val="bottom"/>
            <w:tcBorders>
              <w:bottom w:val="single" w:sz="8" w:color="CCEEFF"/>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1700" w:type="dxa"/>
            <w:vAlign w:val="bottom"/>
            <w:tcBorders>
              <w:bottom w:val="single" w:sz="8" w:color="auto"/>
            </w:tcBorders>
          </w:tcPr>
          <w:p>
            <w:pPr>
              <w:spacing w:after="0"/>
              <w:rPr>
                <w:sz w:val="9"/>
                <w:szCs w:val="9"/>
                <w:color w:val="auto"/>
              </w:rPr>
            </w:pPr>
          </w:p>
        </w:tc>
        <w:tc>
          <w:tcPr>
            <w:tcW w:w="100" w:type="dxa"/>
            <w:vAlign w:val="bottom"/>
            <w:tcBorders>
              <w:bottom w:val="single" w:sz="8" w:color="CCEEFF"/>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1700" w:type="dxa"/>
            <w:vAlign w:val="bottom"/>
            <w:tcBorders>
              <w:bottom w:val="single" w:sz="8" w:color="auto"/>
            </w:tcBorders>
          </w:tcPr>
          <w:p>
            <w:pPr>
              <w:spacing w:after="0"/>
              <w:rPr>
                <w:sz w:val="9"/>
                <w:szCs w:val="9"/>
                <w:color w:val="auto"/>
              </w:rPr>
            </w:pPr>
          </w:p>
        </w:tc>
        <w:tc>
          <w:tcPr>
            <w:tcW w:w="100" w:type="dxa"/>
            <w:vAlign w:val="bottom"/>
            <w:tcBorders>
              <w:bottom w:val="single" w:sz="8" w:color="CCEEFF"/>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1700" w:type="dxa"/>
            <w:vAlign w:val="bottom"/>
            <w:tcBorders>
              <w:bottom w:val="single" w:sz="8" w:color="auto"/>
            </w:tcBorders>
          </w:tcPr>
          <w:p>
            <w:pPr>
              <w:spacing w:after="0"/>
              <w:rPr>
                <w:sz w:val="9"/>
                <w:szCs w:val="9"/>
                <w:color w:val="auto"/>
              </w:rPr>
            </w:pPr>
          </w:p>
        </w:tc>
        <w:tc>
          <w:tcPr>
            <w:tcW w:w="100" w:type="dxa"/>
            <w:vAlign w:val="bottom"/>
            <w:tcBorders>
              <w:bottom w:val="single" w:sz="8" w:color="CCEEFF"/>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1700" w:type="dxa"/>
            <w:vAlign w:val="bottom"/>
            <w:tcBorders>
              <w:bottom w:val="single" w:sz="8" w:color="auto"/>
            </w:tcBorders>
          </w:tcPr>
          <w:p>
            <w:pPr>
              <w:spacing w:after="0"/>
              <w:rPr>
                <w:sz w:val="9"/>
                <w:szCs w:val="9"/>
                <w:color w:val="auto"/>
              </w:rPr>
            </w:pPr>
          </w:p>
        </w:tc>
      </w:tr>
      <w:tr>
        <w:trPr>
          <w:trHeight w:val="227"/>
        </w:trPr>
        <w:tc>
          <w:tcPr>
            <w:tcW w:w="3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 revenue</w:t>
            </w:r>
          </w:p>
        </w:tc>
        <w:tc>
          <w:tcPr>
            <w:tcW w:w="200" w:type="dxa"/>
            <w:vAlign w:val="bottom"/>
            <w:tcBorders>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32,614</w:t>
            </w:r>
          </w:p>
        </w:tc>
        <w:tc>
          <w:tcPr>
            <w:tcW w:w="10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32,757</w:t>
            </w:r>
          </w:p>
        </w:tc>
        <w:tc>
          <w:tcPr>
            <w:tcW w:w="10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89,822</w:t>
            </w:r>
          </w:p>
        </w:tc>
        <w:tc>
          <w:tcPr>
            <w:tcW w:w="10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95,315</w:t>
            </w:r>
          </w:p>
        </w:tc>
      </w:tr>
      <w:tr>
        <w:trPr>
          <w:trHeight w:val="20"/>
        </w:trPr>
        <w:tc>
          <w:tcPr>
            <w:tcW w:w="32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r>
    </w:tbl>
    <w:p>
      <w:pPr>
        <w:spacing w:after="0" w:line="30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Accounts Receivable</w:t>
      </w:r>
    </w:p>
    <w:p>
      <w:pPr>
        <w:spacing w:after="0" w:line="255"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The Company has agreements with certain customers whereby the parties net settle outstanding payables and receivables between the respective entities on a periodic basis. As of September 30, 2021 and December 31, 2020, $2.1 million and $1.9 million, respectively, related to these agreements was included in accounts receivable on the Company’s condensed consolidated balance sheet. The Company also has agreements whereby it acts as an agent to procure goods and perform services on behalf of the customer. As of September 30, 2021 and December 31, 2020, the Company recorded $12.1 million and $4.7 million, respectively, in accounts receivable related to these arrangements.</w:t>
      </w:r>
    </w:p>
    <w:p>
      <w:pPr>
        <w:spacing w:after="0" w:line="206"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During 2020, one of the Company's customers filed for Chapter 11 of the United States Bankruptcy Code resulting in the Company reserving all open receivables due from the customer. This customer's plan of reorganization was confirmed by the bankruptcy court and the order was issued in January 2021. During 2021, the Company received payments from this customer for previously written off balances totaling $0.5 million.</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Contract Liabilities</w:t>
      </w:r>
    </w:p>
    <w:p>
      <w:pPr>
        <w:spacing w:after="0" w:line="255"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Contract liabilities, which are included in deferred revenue on the Company’s condensed consolidated balance sheet, represent the Company’s obligation to transfer service or equipment to a customer from whom it has previously received consideration. The amount of revenue recognized during the nine months ended September 30, 2021 and 2020 from performance obligations included in the contract liability balance at the beginning of each of the periods was $23.8 million and $27.5 million, respectively.</w:t>
      </w:r>
    </w:p>
    <w:p>
      <w:pPr>
        <w:spacing w:after="0" w:line="202"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In general, the duration of the Company’s subscriber service contracts is one year or less. As of September 30, 2021, the Company expects to recognize $26.5 million, or approximately 23%, of its remaining performance obligations during the next twelve months.</w:t>
      </w:r>
    </w:p>
    <w:p>
      <w:pPr>
        <w:spacing w:after="0" w:line="184" w:lineRule="exact"/>
        <w:rPr>
          <w:sz w:val="20"/>
          <w:szCs w:val="20"/>
          <w:color w:val="auto"/>
        </w:rPr>
      </w:pPr>
    </w:p>
    <w:p>
      <w:pPr>
        <w:jc w:val="both"/>
        <w:ind w:firstLine="235"/>
        <w:spacing w:after="0" w:line="284" w:lineRule="auto"/>
        <w:rPr>
          <w:sz w:val="20"/>
          <w:szCs w:val="20"/>
          <w:color w:val="auto"/>
        </w:rPr>
      </w:pPr>
      <w:r>
        <w:rPr>
          <w:rFonts w:ascii="Arial" w:cs="Arial" w:eastAsia="Arial" w:hAnsi="Arial"/>
          <w:sz w:val="16"/>
          <w:szCs w:val="16"/>
          <w:color w:val="auto"/>
        </w:rPr>
        <w:t>In June and September 2021, the Company received two advance payments of $37.5 million each from a customer pursuant to an agreement related to the Terms Agreement described in the 2020 Annual Report. The Company expects $62.5 million of these advance payments to be repaid from services provided by the Company under the Terms Agreement; therefore, the Company has recorded this amount as long-term deferred revenue on its condensed consolidated balance sheet. The remaining $12.5 million of these advance payments is subject to a recoupment provision in the Terms Agreement; therefore, the Company has recorded this amount as a current liability since it expects this portion of the advance payments to be repaid over the next 12</w:t>
      </w: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12" w:name="page13"/>
    <w:bookmarkEnd w:id="12"/>
    <w:p>
      <w:pPr>
        <w:jc w:val="both"/>
        <w:spacing w:after="0" w:line="272" w:lineRule="auto"/>
        <w:rPr>
          <w:sz w:val="20"/>
          <w:szCs w:val="20"/>
          <w:color w:val="auto"/>
        </w:rPr>
      </w:pPr>
      <w:r>
        <w:rPr>
          <w:rFonts w:ascii="Arial" w:cs="Arial" w:eastAsia="Arial" w:hAnsi="Arial"/>
          <w:sz w:val="17"/>
          <w:szCs w:val="17"/>
          <w:color w:val="auto"/>
        </w:rPr>
        <w:t>months. The Company has also recorded $27.8 million as long-term deferred revenue related to additional advance payments in connection with ongoing network upgrades. The total amount of deferred revenue associated with this customer is reflected net of contract assets of $1.2 million on its condensed consolidated balance sheet as of September 30, 2021.</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3. LEASES</w:t>
      </w:r>
    </w:p>
    <w:p>
      <w:pPr>
        <w:spacing w:after="0" w:line="255" w:lineRule="exact"/>
        <w:rPr>
          <w:sz w:val="20"/>
          <w:szCs w:val="20"/>
          <w:color w:val="auto"/>
        </w:rPr>
      </w:pPr>
    </w:p>
    <w:p>
      <w:pPr>
        <w:ind w:left="320"/>
        <w:spacing w:after="0"/>
        <w:rPr>
          <w:sz w:val="20"/>
          <w:szCs w:val="20"/>
          <w:color w:val="auto"/>
        </w:rPr>
      </w:pPr>
      <w:r>
        <w:rPr>
          <w:rFonts w:ascii="Arial" w:cs="Arial" w:eastAsia="Arial" w:hAnsi="Arial"/>
          <w:sz w:val="17"/>
          <w:szCs w:val="17"/>
          <w:color w:val="auto"/>
        </w:rPr>
        <w:t>The following tables disclose the components of the Company’s finance and operating leases (amounts in thousands):</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730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720" w:type="dxa"/>
            <w:vAlign w:val="bottom"/>
            <w:tcBorders>
              <w:bottom w:val="single" w:sz="8" w:color="auto"/>
            </w:tcBorders>
          </w:tcPr>
          <w:p>
            <w:pPr>
              <w:jc w:val="center"/>
              <w:ind w:right="142"/>
              <w:spacing w:after="0"/>
              <w:rPr>
                <w:sz w:val="20"/>
                <w:szCs w:val="20"/>
                <w:color w:val="auto"/>
              </w:rPr>
            </w:pPr>
            <w:r>
              <w:rPr>
                <w:rFonts w:ascii="Arial" w:cs="Arial" w:eastAsia="Arial" w:hAnsi="Arial"/>
                <w:sz w:val="16"/>
                <w:szCs w:val="16"/>
                <w:color w:val="auto"/>
                <w:w w:val="92"/>
              </w:rPr>
              <w:t>As of:</w:t>
            </w:r>
          </w:p>
        </w:tc>
        <w:tc>
          <w:tcPr>
            <w:tcW w:w="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tcPr>
          <w:p>
            <w:pPr>
              <w:jc w:val="right"/>
              <w:ind w:right="682"/>
              <w:spacing w:after="0"/>
              <w:rPr>
                <w:sz w:val="20"/>
                <w:szCs w:val="20"/>
                <w:color w:val="auto"/>
              </w:rPr>
            </w:pPr>
            <w:r>
              <w:rPr>
                <w:rFonts w:ascii="Arial" w:cs="Arial" w:eastAsia="Arial" w:hAnsi="Arial"/>
                <w:sz w:val="16"/>
                <w:szCs w:val="16"/>
                <w:color w:val="auto"/>
              </w:rPr>
              <w:t>As of:</w:t>
            </w:r>
          </w:p>
        </w:tc>
      </w:tr>
      <w:tr>
        <w:trPr>
          <w:trHeight w:val="202"/>
        </w:trPr>
        <w:tc>
          <w:tcPr>
            <w:tcW w:w="73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800" w:type="dxa"/>
            <w:vAlign w:val="bottom"/>
            <w:gridSpan w:val="2"/>
          </w:tcPr>
          <w:p>
            <w:pPr>
              <w:jc w:val="center"/>
              <w:ind w:right="300"/>
              <w:spacing w:after="0"/>
              <w:rPr>
                <w:sz w:val="20"/>
                <w:szCs w:val="20"/>
                <w:color w:val="auto"/>
              </w:rPr>
            </w:pPr>
            <w:r>
              <w:rPr>
                <w:rFonts w:ascii="Arial" w:cs="Arial" w:eastAsia="Arial" w:hAnsi="Arial"/>
                <w:sz w:val="16"/>
                <w:szCs w:val="16"/>
                <w:color w:val="auto"/>
                <w:w w:val="86"/>
              </w:rPr>
              <w:t>September 30, 2021</w:t>
            </w:r>
          </w:p>
        </w:tc>
        <w:tc>
          <w:tcPr>
            <w:tcW w:w="220" w:type="dxa"/>
            <w:vAlign w:val="bottom"/>
          </w:tcPr>
          <w:p>
            <w:pPr>
              <w:spacing w:after="0"/>
              <w:rPr>
                <w:sz w:val="17"/>
                <w:szCs w:val="17"/>
                <w:color w:val="auto"/>
              </w:rPr>
            </w:pPr>
          </w:p>
        </w:tc>
        <w:tc>
          <w:tcPr>
            <w:tcW w:w="1700" w:type="dxa"/>
            <w:vAlign w:val="bottom"/>
          </w:tcPr>
          <w:p>
            <w:pPr>
              <w:jc w:val="right"/>
              <w:ind w:right="262"/>
              <w:spacing w:after="0"/>
              <w:rPr>
                <w:sz w:val="20"/>
                <w:szCs w:val="20"/>
                <w:color w:val="auto"/>
              </w:rPr>
            </w:pPr>
            <w:r>
              <w:rPr>
                <w:rFonts w:ascii="Arial" w:cs="Arial" w:eastAsia="Arial" w:hAnsi="Arial"/>
                <w:sz w:val="16"/>
                <w:szCs w:val="16"/>
                <w:color w:val="auto"/>
                <w:w w:val="95"/>
              </w:rPr>
              <w:t>December 31, 2020</w:t>
            </w:r>
          </w:p>
        </w:tc>
      </w:tr>
      <w:tr>
        <w:trPr>
          <w:trHeight w:val="192"/>
        </w:trPr>
        <w:tc>
          <w:tcPr>
            <w:tcW w:w="73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Operating leases:</w:t>
            </w:r>
          </w:p>
        </w:tc>
        <w:tc>
          <w:tcPr>
            <w:tcW w:w="220" w:type="dxa"/>
            <w:vAlign w:val="bottom"/>
            <w:tcBorders>
              <w:top w:val="single" w:sz="8" w:color="auto"/>
            </w:tcBorders>
            <w:shd w:val="clear" w:color="auto" w:fill="CCEEFF"/>
          </w:tcPr>
          <w:p>
            <w:pPr>
              <w:spacing w:after="0"/>
              <w:rPr>
                <w:sz w:val="16"/>
                <w:szCs w:val="16"/>
                <w:color w:val="auto"/>
              </w:rPr>
            </w:pPr>
          </w:p>
        </w:tc>
        <w:tc>
          <w:tcPr>
            <w:tcW w:w="172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1700" w:type="dxa"/>
            <w:vAlign w:val="bottom"/>
            <w:tcBorders>
              <w:top w:val="single" w:sz="8" w:color="auto"/>
            </w:tcBorders>
            <w:shd w:val="clear" w:color="auto" w:fill="CCEEFF"/>
          </w:tcPr>
          <w:p>
            <w:pPr>
              <w:spacing w:after="0"/>
              <w:rPr>
                <w:sz w:val="16"/>
                <w:szCs w:val="16"/>
                <w:color w:val="auto"/>
              </w:rPr>
            </w:pPr>
          </w:p>
        </w:tc>
      </w:tr>
      <w:tr>
        <w:trPr>
          <w:trHeight w:val="206"/>
        </w:trPr>
        <w:tc>
          <w:tcPr>
            <w:tcW w:w="7300" w:type="dxa"/>
            <w:vAlign w:val="bottom"/>
          </w:tcPr>
          <w:p>
            <w:pPr>
              <w:ind w:left="140"/>
              <w:spacing w:after="0"/>
              <w:rPr>
                <w:sz w:val="20"/>
                <w:szCs w:val="20"/>
                <w:color w:val="auto"/>
              </w:rPr>
            </w:pPr>
            <w:r>
              <w:rPr>
                <w:rFonts w:ascii="Arial" w:cs="Arial" w:eastAsia="Arial" w:hAnsi="Arial"/>
                <w:sz w:val="16"/>
                <w:szCs w:val="16"/>
                <w:color w:val="auto"/>
              </w:rPr>
              <w:t>Right-of-use asset, net</w:t>
            </w:r>
          </w:p>
        </w:tc>
        <w:tc>
          <w:tcPr>
            <w:tcW w:w="220" w:type="dxa"/>
            <w:vAlign w:val="bottom"/>
          </w:tcPr>
          <w:p>
            <w:pPr>
              <w:jc w:val="right"/>
              <w:ind w:right="42"/>
              <w:spacing w:after="0"/>
              <w:rPr>
                <w:sz w:val="20"/>
                <w:szCs w:val="20"/>
                <w:color w:val="auto"/>
              </w:rPr>
            </w:pPr>
            <w:r>
              <w:rPr>
                <w:rFonts w:ascii="Arial" w:cs="Arial" w:eastAsia="Arial" w:hAnsi="Arial"/>
                <w:sz w:val="16"/>
                <w:szCs w:val="16"/>
                <w:color w:val="auto"/>
                <w:w w:val="89"/>
              </w:rPr>
              <w:t>$</w:t>
            </w:r>
          </w:p>
        </w:tc>
        <w:tc>
          <w:tcPr>
            <w:tcW w:w="1720" w:type="dxa"/>
            <w:vAlign w:val="bottom"/>
          </w:tcPr>
          <w:p>
            <w:pPr>
              <w:jc w:val="right"/>
              <w:ind w:right="2"/>
              <w:spacing w:after="0"/>
              <w:rPr>
                <w:sz w:val="20"/>
                <w:szCs w:val="20"/>
                <w:color w:val="auto"/>
              </w:rPr>
            </w:pPr>
            <w:r>
              <w:rPr>
                <w:rFonts w:ascii="Arial" w:cs="Arial" w:eastAsia="Arial" w:hAnsi="Arial"/>
                <w:sz w:val="16"/>
                <w:szCs w:val="16"/>
                <w:color w:val="auto"/>
              </w:rPr>
              <w:t>32,642</w:t>
            </w:r>
          </w:p>
        </w:tc>
        <w:tc>
          <w:tcPr>
            <w:tcW w:w="80" w:type="dxa"/>
            <w:vAlign w:val="bottom"/>
          </w:tcPr>
          <w:p>
            <w:pPr>
              <w:spacing w:after="0"/>
              <w:rPr>
                <w:sz w:val="17"/>
                <w:szCs w:val="17"/>
                <w:color w:val="auto"/>
              </w:rPr>
            </w:pPr>
          </w:p>
        </w:tc>
        <w:tc>
          <w:tcPr>
            <w:tcW w:w="220" w:type="dxa"/>
            <w:vAlign w:val="bottom"/>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Pr>
          <w:p>
            <w:pPr>
              <w:jc w:val="right"/>
              <w:spacing w:after="0"/>
              <w:rPr>
                <w:sz w:val="20"/>
                <w:szCs w:val="20"/>
                <w:color w:val="auto"/>
              </w:rPr>
            </w:pPr>
            <w:r>
              <w:rPr>
                <w:rFonts w:ascii="Arial" w:cs="Arial" w:eastAsia="Arial" w:hAnsi="Arial"/>
                <w:sz w:val="16"/>
                <w:szCs w:val="16"/>
                <w:color w:val="auto"/>
              </w:rPr>
              <w:t>14,400</w:t>
            </w:r>
          </w:p>
        </w:tc>
      </w:tr>
      <w:tr>
        <w:trPr>
          <w:trHeight w:val="265"/>
        </w:trPr>
        <w:tc>
          <w:tcPr>
            <w:tcW w:w="73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72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700" w:type="dxa"/>
            <w:vAlign w:val="bottom"/>
            <w:shd w:val="clear" w:color="auto" w:fill="CCEEFF"/>
          </w:tcPr>
          <w:p>
            <w:pPr>
              <w:spacing w:after="0"/>
              <w:rPr>
                <w:sz w:val="23"/>
                <w:szCs w:val="23"/>
                <w:color w:val="auto"/>
              </w:rPr>
            </w:pPr>
          </w:p>
        </w:tc>
      </w:tr>
      <w:tr>
        <w:trPr>
          <w:trHeight w:val="206"/>
        </w:trPr>
        <w:tc>
          <w:tcPr>
            <w:tcW w:w="7300" w:type="dxa"/>
            <w:vAlign w:val="bottom"/>
          </w:tcPr>
          <w:p>
            <w:pPr>
              <w:ind w:left="140"/>
              <w:spacing w:after="0"/>
              <w:rPr>
                <w:sz w:val="20"/>
                <w:szCs w:val="20"/>
                <w:color w:val="auto"/>
              </w:rPr>
            </w:pPr>
            <w:r>
              <w:rPr>
                <w:rFonts w:ascii="Arial" w:cs="Arial" w:eastAsia="Arial" w:hAnsi="Arial"/>
                <w:sz w:val="16"/>
                <w:szCs w:val="16"/>
                <w:color w:val="auto"/>
              </w:rPr>
              <w:t>Short-term lease liability (recorded in accrued expenses)</w:t>
            </w:r>
          </w:p>
        </w:tc>
        <w:tc>
          <w:tcPr>
            <w:tcW w:w="220" w:type="dxa"/>
            <w:vAlign w:val="bottom"/>
          </w:tcPr>
          <w:p>
            <w:pPr>
              <w:spacing w:after="0"/>
              <w:rPr>
                <w:sz w:val="17"/>
                <w:szCs w:val="17"/>
                <w:color w:val="auto"/>
              </w:rPr>
            </w:pPr>
          </w:p>
        </w:tc>
        <w:tc>
          <w:tcPr>
            <w:tcW w:w="1720" w:type="dxa"/>
            <w:vAlign w:val="bottom"/>
          </w:tcPr>
          <w:p>
            <w:pPr>
              <w:jc w:val="right"/>
              <w:ind w:right="2"/>
              <w:spacing w:after="0"/>
              <w:rPr>
                <w:sz w:val="20"/>
                <w:szCs w:val="20"/>
                <w:color w:val="auto"/>
              </w:rPr>
            </w:pPr>
            <w:r>
              <w:rPr>
                <w:rFonts w:ascii="Arial" w:cs="Arial" w:eastAsia="Arial" w:hAnsi="Arial"/>
                <w:sz w:val="16"/>
                <w:szCs w:val="16"/>
                <w:color w:val="auto"/>
              </w:rPr>
              <w:t>3,230</w:t>
            </w: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1,330</w:t>
            </w:r>
          </w:p>
        </w:tc>
      </w:tr>
      <w:tr>
        <w:trPr>
          <w:trHeight w:val="209"/>
        </w:trPr>
        <w:tc>
          <w:tcPr>
            <w:tcW w:w="73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Long-term lease liability</w:t>
            </w:r>
          </w:p>
        </w:tc>
        <w:tc>
          <w:tcPr>
            <w:tcW w:w="220" w:type="dxa"/>
            <w:vAlign w:val="bottom"/>
            <w:tcBorders>
              <w:bottom w:val="single" w:sz="8" w:color="auto"/>
            </w:tcBorders>
            <w:shd w:val="clear" w:color="auto" w:fill="CCEEFF"/>
          </w:tcPr>
          <w:p>
            <w:pPr>
              <w:spacing w:after="0"/>
              <w:rPr>
                <w:sz w:val="18"/>
                <w:szCs w:val="18"/>
                <w:color w:val="auto"/>
              </w:rPr>
            </w:pPr>
          </w:p>
        </w:tc>
        <w:tc>
          <w:tcPr>
            <w:tcW w:w="17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29,756</w:t>
            </w:r>
          </w:p>
        </w:tc>
        <w:tc>
          <w:tcPr>
            <w:tcW w:w="8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13,726</w:t>
            </w:r>
          </w:p>
        </w:tc>
      </w:tr>
      <w:tr>
        <w:trPr>
          <w:trHeight w:val="205"/>
        </w:trPr>
        <w:tc>
          <w:tcPr>
            <w:tcW w:w="7300" w:type="dxa"/>
            <w:vAlign w:val="bottom"/>
          </w:tcPr>
          <w:p>
            <w:pPr>
              <w:ind w:left="220"/>
              <w:spacing w:after="0"/>
              <w:rPr>
                <w:sz w:val="20"/>
                <w:szCs w:val="20"/>
                <w:color w:val="auto"/>
              </w:rPr>
            </w:pPr>
            <w:r>
              <w:rPr>
                <w:rFonts w:ascii="Arial" w:cs="Arial" w:eastAsia="Arial" w:hAnsi="Arial"/>
                <w:sz w:val="16"/>
                <w:szCs w:val="16"/>
                <w:color w:val="auto"/>
              </w:rPr>
              <w:t>Total operating lease liabilities</w:t>
            </w:r>
          </w:p>
        </w:tc>
        <w:tc>
          <w:tcPr>
            <w:tcW w:w="220" w:type="dxa"/>
            <w:vAlign w:val="bottom"/>
            <w:tcBorders>
              <w:bottom w:val="single" w:sz="8" w:color="auto"/>
            </w:tcBorders>
          </w:tcPr>
          <w:p>
            <w:pPr>
              <w:jc w:val="right"/>
              <w:ind w:right="42"/>
              <w:spacing w:after="0"/>
              <w:rPr>
                <w:sz w:val="20"/>
                <w:szCs w:val="20"/>
                <w:color w:val="auto"/>
              </w:rPr>
            </w:pPr>
            <w:r>
              <w:rPr>
                <w:rFonts w:ascii="Arial" w:cs="Arial" w:eastAsia="Arial" w:hAnsi="Arial"/>
                <w:sz w:val="16"/>
                <w:szCs w:val="16"/>
                <w:color w:val="auto"/>
                <w:w w:val="89"/>
              </w:rPr>
              <w:t>$</w:t>
            </w:r>
          </w:p>
        </w:tc>
        <w:tc>
          <w:tcPr>
            <w:tcW w:w="17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32,986</w:t>
            </w:r>
          </w:p>
        </w:tc>
        <w:tc>
          <w:tcPr>
            <w:tcW w:w="80" w:type="dxa"/>
            <w:vAlign w:val="bottom"/>
          </w:tcPr>
          <w:p>
            <w:pPr>
              <w:spacing w:after="0"/>
              <w:rPr>
                <w:sz w:val="17"/>
                <w:szCs w:val="17"/>
                <w:color w:val="auto"/>
              </w:rPr>
            </w:pPr>
          </w:p>
        </w:tc>
        <w:tc>
          <w:tcPr>
            <w:tcW w:w="220" w:type="dxa"/>
            <w:vAlign w:val="bottom"/>
            <w:tcBorders>
              <w:bottom w:val="single" w:sz="8" w:color="auto"/>
            </w:tcBorders>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15,056</w:t>
            </w:r>
          </w:p>
        </w:tc>
      </w:tr>
      <w:tr>
        <w:trPr>
          <w:trHeight w:val="20"/>
        </w:trPr>
        <w:tc>
          <w:tcPr>
            <w:tcW w:w="73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r>
        <w:trPr>
          <w:trHeight w:val="228"/>
        </w:trPr>
        <w:tc>
          <w:tcPr>
            <w:tcW w:w="73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r>
      <w:tr>
        <w:trPr>
          <w:trHeight w:val="206"/>
        </w:trPr>
        <w:tc>
          <w:tcPr>
            <w:tcW w:w="7300" w:type="dxa"/>
            <w:vAlign w:val="bottom"/>
          </w:tcPr>
          <w:p>
            <w:pPr>
              <w:ind w:left="20"/>
              <w:spacing w:after="0"/>
              <w:rPr>
                <w:sz w:val="20"/>
                <w:szCs w:val="20"/>
                <w:color w:val="auto"/>
              </w:rPr>
            </w:pPr>
            <w:r>
              <w:rPr>
                <w:rFonts w:ascii="Arial" w:cs="Arial" w:eastAsia="Arial" w:hAnsi="Arial"/>
                <w:sz w:val="16"/>
                <w:szCs w:val="16"/>
                <w:color w:val="auto"/>
              </w:rPr>
              <w:t>Finance leases:</w:t>
            </w:r>
          </w:p>
        </w:tc>
        <w:tc>
          <w:tcPr>
            <w:tcW w:w="220" w:type="dxa"/>
            <w:vAlign w:val="bottom"/>
          </w:tcPr>
          <w:p>
            <w:pPr>
              <w:spacing w:after="0"/>
              <w:rPr>
                <w:sz w:val="17"/>
                <w:szCs w:val="17"/>
                <w:color w:val="auto"/>
              </w:rPr>
            </w:pPr>
          </w:p>
        </w:tc>
        <w:tc>
          <w:tcPr>
            <w:tcW w:w="1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spacing w:after="0"/>
              <w:rPr>
                <w:sz w:val="17"/>
                <w:szCs w:val="17"/>
                <w:color w:val="auto"/>
              </w:rPr>
            </w:pPr>
          </w:p>
        </w:tc>
      </w:tr>
      <w:tr>
        <w:trPr>
          <w:trHeight w:val="212"/>
        </w:trPr>
        <w:tc>
          <w:tcPr>
            <w:tcW w:w="73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Right-of-use asset, net (recorded in intangible and other current assets, net)</w:t>
            </w:r>
          </w:p>
        </w:tc>
        <w:tc>
          <w:tcPr>
            <w:tcW w:w="22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7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9</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w:t>
            </w:r>
          </w:p>
        </w:tc>
      </w:tr>
      <w:tr>
        <w:trPr>
          <w:trHeight w:val="261"/>
        </w:trPr>
        <w:tc>
          <w:tcPr>
            <w:tcW w:w="73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7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700" w:type="dxa"/>
            <w:vAlign w:val="bottom"/>
          </w:tcPr>
          <w:p>
            <w:pPr>
              <w:spacing w:after="0"/>
              <w:rPr>
                <w:sz w:val="22"/>
                <w:szCs w:val="22"/>
                <w:color w:val="auto"/>
              </w:rPr>
            </w:pPr>
          </w:p>
        </w:tc>
      </w:tr>
      <w:tr>
        <w:trPr>
          <w:trHeight w:val="209"/>
        </w:trPr>
        <w:tc>
          <w:tcPr>
            <w:tcW w:w="73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Short-term lease liability (recorded in accrued expenses)</w:t>
            </w:r>
          </w:p>
        </w:tc>
        <w:tc>
          <w:tcPr>
            <w:tcW w:w="220" w:type="dxa"/>
            <w:vAlign w:val="bottom"/>
            <w:shd w:val="clear" w:color="auto" w:fill="CCEEFF"/>
          </w:tcPr>
          <w:p>
            <w:pPr>
              <w:spacing w:after="0"/>
              <w:rPr>
                <w:sz w:val="18"/>
                <w:szCs w:val="18"/>
                <w:color w:val="auto"/>
              </w:rPr>
            </w:pPr>
          </w:p>
        </w:tc>
        <w:tc>
          <w:tcPr>
            <w:tcW w:w="17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6</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w:t>
            </w:r>
          </w:p>
        </w:tc>
      </w:tr>
      <w:tr>
        <w:trPr>
          <w:trHeight w:val="206"/>
        </w:trPr>
        <w:tc>
          <w:tcPr>
            <w:tcW w:w="7300" w:type="dxa"/>
            <w:vAlign w:val="bottom"/>
            <w:tcBorders>
              <w:bottom w:val="single" w:sz="8" w:color="CCEEFF"/>
            </w:tcBorders>
          </w:tcPr>
          <w:p>
            <w:pPr>
              <w:ind w:left="140"/>
              <w:spacing w:after="0"/>
              <w:rPr>
                <w:sz w:val="20"/>
                <w:szCs w:val="20"/>
                <w:color w:val="auto"/>
              </w:rPr>
            </w:pPr>
            <w:r>
              <w:rPr>
                <w:rFonts w:ascii="Arial" w:cs="Arial" w:eastAsia="Arial" w:hAnsi="Arial"/>
                <w:sz w:val="16"/>
                <w:szCs w:val="16"/>
                <w:color w:val="auto"/>
              </w:rPr>
              <w:t>Long-term lease liability (recorded in non-current liabilities)</w:t>
            </w:r>
          </w:p>
        </w:tc>
        <w:tc>
          <w:tcPr>
            <w:tcW w:w="220" w:type="dxa"/>
            <w:vAlign w:val="bottom"/>
            <w:tcBorders>
              <w:bottom w:val="single" w:sz="8" w:color="auto"/>
            </w:tcBorders>
          </w:tcPr>
          <w:p>
            <w:pPr>
              <w:spacing w:after="0"/>
              <w:rPr>
                <w:sz w:val="17"/>
                <w:szCs w:val="17"/>
                <w:color w:val="auto"/>
              </w:rPr>
            </w:pPr>
          </w:p>
        </w:tc>
        <w:tc>
          <w:tcPr>
            <w:tcW w:w="17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4</w:t>
            </w:r>
          </w:p>
        </w:tc>
        <w:tc>
          <w:tcPr>
            <w:tcW w:w="8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w:t>
            </w:r>
          </w:p>
        </w:tc>
      </w:tr>
      <w:tr>
        <w:trPr>
          <w:trHeight w:val="230"/>
        </w:trPr>
        <w:tc>
          <w:tcPr>
            <w:tcW w:w="73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6"/>
                <w:szCs w:val="16"/>
                <w:color w:val="auto"/>
              </w:rPr>
              <w:t>Total finance lease liabilities</w:t>
            </w:r>
          </w:p>
        </w:tc>
        <w:tc>
          <w:tcPr>
            <w:tcW w:w="22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7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10</w:t>
            </w:r>
          </w:p>
        </w:tc>
        <w:tc>
          <w:tcPr>
            <w:tcW w:w="8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w:t>
            </w:r>
          </w:p>
        </w:tc>
      </w:tr>
      <w:tr>
        <w:trPr>
          <w:trHeight w:val="20"/>
        </w:trPr>
        <w:tc>
          <w:tcPr>
            <w:tcW w:w="73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7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jc w:val="both"/>
        <w:ind w:firstLine="314"/>
        <w:spacing w:after="0" w:line="272" w:lineRule="auto"/>
        <w:rPr>
          <w:sz w:val="20"/>
          <w:szCs w:val="20"/>
          <w:color w:val="auto"/>
        </w:rPr>
      </w:pPr>
      <w:r>
        <w:rPr>
          <w:rFonts w:ascii="Arial" w:cs="Arial" w:eastAsia="Arial" w:hAnsi="Arial"/>
          <w:sz w:val="17"/>
          <w:szCs w:val="17"/>
          <w:color w:val="auto"/>
        </w:rPr>
        <w:t>In connection with the Company's gateway expansion project related to the Terms Agreement described in the 2020 Annual Report, the Company has entered into various operating leases, predominately for new gateway sites, totaling $19.5 million during 2021. The tables in this footnote reflect the relevant terms of these new leases.</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Lease Cost</w:t>
      </w:r>
    </w:p>
    <w:p>
      <w:pPr>
        <w:spacing w:after="0" w:line="255" w:lineRule="exact"/>
        <w:rPr>
          <w:sz w:val="20"/>
          <w:szCs w:val="20"/>
          <w:color w:val="auto"/>
        </w:rPr>
      </w:pPr>
    </w:p>
    <w:p>
      <w:pPr>
        <w:ind w:left="320"/>
        <w:spacing w:after="0"/>
        <w:rPr>
          <w:sz w:val="20"/>
          <w:szCs w:val="20"/>
          <w:color w:val="auto"/>
        </w:rPr>
      </w:pPr>
      <w:r>
        <w:rPr>
          <w:rFonts w:ascii="Arial" w:cs="Arial" w:eastAsia="Arial" w:hAnsi="Arial"/>
          <w:sz w:val="17"/>
          <w:szCs w:val="17"/>
          <w:color w:val="auto"/>
        </w:rPr>
        <w:t>The components of lease cost are reflected in the table below (amounts in thousands):</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396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3420" w:type="dxa"/>
            <w:vAlign w:val="bottom"/>
            <w:tcBorders>
              <w:bottom w:val="single" w:sz="8" w:color="auto"/>
            </w:tcBorders>
            <w:gridSpan w:val="4"/>
          </w:tcPr>
          <w:p>
            <w:pPr>
              <w:jc w:val="right"/>
              <w:ind w:right="1062"/>
              <w:spacing w:after="0"/>
              <w:rPr>
                <w:sz w:val="20"/>
                <w:szCs w:val="20"/>
                <w:color w:val="auto"/>
              </w:rPr>
            </w:pPr>
            <w:r>
              <w:rPr>
                <w:rFonts w:ascii="Arial" w:cs="Arial" w:eastAsia="Arial" w:hAnsi="Arial"/>
                <w:sz w:val="16"/>
                <w:szCs w:val="16"/>
                <w:color w:val="auto"/>
              </w:rPr>
              <w:t>Three Months Ended</w:t>
            </w:r>
          </w:p>
        </w:tc>
        <w:tc>
          <w:tcPr>
            <w:tcW w:w="8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3420" w:type="dxa"/>
            <w:vAlign w:val="bottom"/>
            <w:tcBorders>
              <w:bottom w:val="single" w:sz="8" w:color="auto"/>
            </w:tcBorders>
            <w:gridSpan w:val="4"/>
          </w:tcPr>
          <w:p>
            <w:pPr>
              <w:jc w:val="right"/>
              <w:ind w:right="1082"/>
              <w:spacing w:after="0"/>
              <w:rPr>
                <w:sz w:val="20"/>
                <w:szCs w:val="20"/>
                <w:color w:val="auto"/>
              </w:rPr>
            </w:pPr>
            <w:r>
              <w:rPr>
                <w:rFonts w:ascii="Arial" w:cs="Arial" w:eastAsia="Arial" w:hAnsi="Arial"/>
                <w:sz w:val="16"/>
                <w:szCs w:val="16"/>
                <w:color w:val="auto"/>
              </w:rPr>
              <w:t>Nine Months Ended</w:t>
            </w:r>
          </w:p>
        </w:tc>
      </w:tr>
      <w:tr>
        <w:trPr>
          <w:trHeight w:val="202"/>
        </w:trPr>
        <w:tc>
          <w:tcPr>
            <w:tcW w:w="39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60" w:type="dxa"/>
            <w:vAlign w:val="bottom"/>
            <w:gridSpan w:val="2"/>
          </w:tcPr>
          <w:p>
            <w:pPr>
              <w:ind w:left="80"/>
              <w:spacing w:after="0"/>
              <w:rPr>
                <w:sz w:val="20"/>
                <w:szCs w:val="20"/>
                <w:color w:val="auto"/>
              </w:rPr>
            </w:pPr>
            <w:r>
              <w:rPr>
                <w:rFonts w:ascii="Arial" w:cs="Arial" w:eastAsia="Arial" w:hAnsi="Arial"/>
                <w:sz w:val="16"/>
                <w:szCs w:val="16"/>
                <w:color w:val="auto"/>
              </w:rPr>
              <w:t>September 30, 2021</w:t>
            </w:r>
          </w:p>
        </w:tc>
        <w:tc>
          <w:tcPr>
            <w:tcW w:w="180" w:type="dxa"/>
            <w:vAlign w:val="bottom"/>
          </w:tcPr>
          <w:p>
            <w:pPr>
              <w:spacing w:after="0"/>
              <w:rPr>
                <w:sz w:val="17"/>
                <w:szCs w:val="17"/>
                <w:color w:val="auto"/>
              </w:rPr>
            </w:pPr>
          </w:p>
        </w:tc>
        <w:tc>
          <w:tcPr>
            <w:tcW w:w="1660" w:type="dxa"/>
            <w:vAlign w:val="bottom"/>
            <w:gridSpan w:val="2"/>
          </w:tcPr>
          <w:p>
            <w:pPr>
              <w:ind w:left="80"/>
              <w:spacing w:after="0"/>
              <w:rPr>
                <w:sz w:val="20"/>
                <w:szCs w:val="20"/>
                <w:color w:val="auto"/>
              </w:rPr>
            </w:pPr>
            <w:r>
              <w:rPr>
                <w:rFonts w:ascii="Arial" w:cs="Arial" w:eastAsia="Arial" w:hAnsi="Arial"/>
                <w:sz w:val="16"/>
                <w:szCs w:val="16"/>
                <w:color w:val="auto"/>
              </w:rPr>
              <w:t>September 30, 2020</w:t>
            </w:r>
          </w:p>
        </w:tc>
        <w:tc>
          <w:tcPr>
            <w:tcW w:w="180" w:type="dxa"/>
            <w:vAlign w:val="bottom"/>
          </w:tcPr>
          <w:p>
            <w:pPr>
              <w:spacing w:after="0"/>
              <w:rPr>
                <w:sz w:val="17"/>
                <w:szCs w:val="17"/>
                <w:color w:val="auto"/>
              </w:rPr>
            </w:pPr>
          </w:p>
        </w:tc>
        <w:tc>
          <w:tcPr>
            <w:tcW w:w="1680" w:type="dxa"/>
            <w:vAlign w:val="bottom"/>
            <w:gridSpan w:val="2"/>
          </w:tcPr>
          <w:p>
            <w:pPr>
              <w:ind w:left="80"/>
              <w:spacing w:after="0"/>
              <w:rPr>
                <w:sz w:val="20"/>
                <w:szCs w:val="20"/>
                <w:color w:val="auto"/>
              </w:rPr>
            </w:pPr>
            <w:r>
              <w:rPr>
                <w:rFonts w:ascii="Arial" w:cs="Arial" w:eastAsia="Arial" w:hAnsi="Arial"/>
                <w:sz w:val="16"/>
                <w:szCs w:val="16"/>
                <w:color w:val="auto"/>
              </w:rPr>
              <w:t>September 30, 2021</w:t>
            </w:r>
          </w:p>
        </w:tc>
        <w:tc>
          <w:tcPr>
            <w:tcW w:w="160" w:type="dxa"/>
            <w:vAlign w:val="bottom"/>
          </w:tcPr>
          <w:p>
            <w:pPr>
              <w:spacing w:after="0"/>
              <w:rPr>
                <w:sz w:val="17"/>
                <w:szCs w:val="17"/>
                <w:color w:val="auto"/>
              </w:rPr>
            </w:pPr>
          </w:p>
        </w:tc>
        <w:tc>
          <w:tcPr>
            <w:tcW w:w="1580" w:type="dxa"/>
            <w:vAlign w:val="bottom"/>
          </w:tcPr>
          <w:p>
            <w:pPr>
              <w:jc w:val="right"/>
              <w:ind w:right="162"/>
              <w:spacing w:after="0"/>
              <w:rPr>
                <w:sz w:val="20"/>
                <w:szCs w:val="20"/>
                <w:color w:val="auto"/>
              </w:rPr>
            </w:pPr>
            <w:r>
              <w:rPr>
                <w:rFonts w:ascii="Arial" w:cs="Arial" w:eastAsia="Arial" w:hAnsi="Arial"/>
                <w:sz w:val="16"/>
                <w:szCs w:val="16"/>
                <w:color w:val="auto"/>
                <w:w w:val="91"/>
              </w:rPr>
              <w:t>September 30, 2020</w:t>
            </w:r>
          </w:p>
        </w:tc>
      </w:tr>
      <w:tr>
        <w:trPr>
          <w:trHeight w:val="192"/>
        </w:trPr>
        <w:tc>
          <w:tcPr>
            <w:tcW w:w="39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Operating lease cost:</w:t>
            </w:r>
          </w:p>
        </w:tc>
        <w:tc>
          <w:tcPr>
            <w:tcW w:w="180" w:type="dxa"/>
            <w:vAlign w:val="bottom"/>
            <w:tcBorders>
              <w:top w:val="single" w:sz="8" w:color="auto"/>
            </w:tcBorders>
            <w:shd w:val="clear" w:color="auto" w:fill="CCEEFF"/>
          </w:tcPr>
          <w:p>
            <w:pPr>
              <w:spacing w:after="0"/>
              <w:rPr>
                <w:sz w:val="16"/>
                <w:szCs w:val="16"/>
                <w:color w:val="auto"/>
              </w:rPr>
            </w:pPr>
          </w:p>
        </w:tc>
        <w:tc>
          <w:tcPr>
            <w:tcW w:w="158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158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15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1580" w:type="dxa"/>
            <w:vAlign w:val="bottom"/>
            <w:tcBorders>
              <w:top w:val="single" w:sz="8" w:color="auto"/>
            </w:tcBorders>
            <w:shd w:val="clear" w:color="auto" w:fill="CCEEFF"/>
          </w:tcPr>
          <w:p>
            <w:pPr>
              <w:spacing w:after="0"/>
              <w:rPr>
                <w:sz w:val="16"/>
                <w:szCs w:val="16"/>
                <w:color w:val="auto"/>
              </w:rPr>
            </w:pPr>
          </w:p>
        </w:tc>
      </w:tr>
      <w:tr>
        <w:trPr>
          <w:trHeight w:val="206"/>
        </w:trPr>
        <w:tc>
          <w:tcPr>
            <w:tcW w:w="3960" w:type="dxa"/>
            <w:vAlign w:val="bottom"/>
          </w:tcPr>
          <w:p>
            <w:pPr>
              <w:ind w:left="220"/>
              <w:spacing w:after="0"/>
              <w:rPr>
                <w:sz w:val="20"/>
                <w:szCs w:val="20"/>
                <w:color w:val="auto"/>
              </w:rPr>
            </w:pPr>
            <w:r>
              <w:rPr>
                <w:rFonts w:ascii="Arial" w:cs="Arial" w:eastAsia="Arial" w:hAnsi="Arial"/>
                <w:sz w:val="16"/>
                <w:szCs w:val="16"/>
                <w:color w:val="auto"/>
              </w:rPr>
              <w:t>Amortization of right-of-use assets</w:t>
            </w:r>
          </w:p>
        </w:tc>
        <w:tc>
          <w:tcPr>
            <w:tcW w:w="180" w:type="dxa"/>
            <w:vAlign w:val="bottom"/>
          </w:tcPr>
          <w:p>
            <w:pPr>
              <w:jc w:val="right"/>
              <w:ind w:right="2"/>
              <w:spacing w:after="0"/>
              <w:rPr>
                <w:sz w:val="20"/>
                <w:szCs w:val="20"/>
                <w:color w:val="auto"/>
              </w:rPr>
            </w:pPr>
            <w:r>
              <w:rPr>
                <w:rFonts w:ascii="Arial" w:cs="Arial" w:eastAsia="Arial" w:hAnsi="Arial"/>
                <w:sz w:val="16"/>
                <w:szCs w:val="16"/>
                <w:color w:val="auto"/>
                <w:w w:val="89"/>
              </w:rPr>
              <w:t>$</w:t>
            </w:r>
          </w:p>
        </w:tc>
        <w:tc>
          <w:tcPr>
            <w:tcW w:w="1580" w:type="dxa"/>
            <w:vAlign w:val="bottom"/>
          </w:tcPr>
          <w:p>
            <w:pPr>
              <w:jc w:val="right"/>
              <w:spacing w:after="0"/>
              <w:rPr>
                <w:sz w:val="20"/>
                <w:szCs w:val="20"/>
                <w:color w:val="auto"/>
              </w:rPr>
            </w:pPr>
            <w:r>
              <w:rPr>
                <w:rFonts w:ascii="Arial" w:cs="Arial" w:eastAsia="Arial" w:hAnsi="Arial"/>
                <w:sz w:val="16"/>
                <w:szCs w:val="16"/>
                <w:color w:val="auto"/>
              </w:rPr>
              <w:t>661</w:t>
            </w:r>
          </w:p>
        </w:tc>
        <w:tc>
          <w:tcPr>
            <w:tcW w:w="80" w:type="dxa"/>
            <w:vAlign w:val="bottom"/>
          </w:tcPr>
          <w:p>
            <w:pPr>
              <w:spacing w:after="0"/>
              <w:rPr>
                <w:sz w:val="17"/>
                <w:szCs w:val="17"/>
                <w:color w:val="auto"/>
              </w:rPr>
            </w:pPr>
          </w:p>
        </w:tc>
        <w:tc>
          <w:tcPr>
            <w:tcW w:w="180" w:type="dxa"/>
            <w:vAlign w:val="bottom"/>
          </w:tcPr>
          <w:p>
            <w:pPr>
              <w:jc w:val="right"/>
              <w:ind w:right="2"/>
              <w:spacing w:after="0"/>
              <w:rPr>
                <w:sz w:val="20"/>
                <w:szCs w:val="20"/>
                <w:color w:val="auto"/>
              </w:rPr>
            </w:pPr>
            <w:r>
              <w:rPr>
                <w:rFonts w:ascii="Arial" w:cs="Arial" w:eastAsia="Arial" w:hAnsi="Arial"/>
                <w:sz w:val="16"/>
                <w:szCs w:val="16"/>
                <w:color w:val="auto"/>
                <w:w w:val="89"/>
              </w:rPr>
              <w:t>$</w:t>
            </w:r>
          </w:p>
        </w:tc>
        <w:tc>
          <w:tcPr>
            <w:tcW w:w="1580" w:type="dxa"/>
            <w:vAlign w:val="bottom"/>
          </w:tcPr>
          <w:p>
            <w:pPr>
              <w:jc w:val="right"/>
              <w:spacing w:after="0"/>
              <w:rPr>
                <w:sz w:val="20"/>
                <w:szCs w:val="20"/>
                <w:color w:val="auto"/>
              </w:rPr>
            </w:pPr>
            <w:r>
              <w:rPr>
                <w:rFonts w:ascii="Arial" w:cs="Arial" w:eastAsia="Arial" w:hAnsi="Arial"/>
                <w:sz w:val="16"/>
                <w:szCs w:val="16"/>
                <w:color w:val="auto"/>
              </w:rPr>
              <w:t>473</w:t>
            </w:r>
          </w:p>
        </w:tc>
        <w:tc>
          <w:tcPr>
            <w:tcW w:w="80" w:type="dxa"/>
            <w:vAlign w:val="bottom"/>
          </w:tcPr>
          <w:p>
            <w:pPr>
              <w:spacing w:after="0"/>
              <w:rPr>
                <w:sz w:val="17"/>
                <w:szCs w:val="17"/>
                <w:color w:val="auto"/>
              </w:rPr>
            </w:pPr>
          </w:p>
        </w:tc>
        <w:tc>
          <w:tcPr>
            <w:tcW w:w="180" w:type="dxa"/>
            <w:vAlign w:val="bottom"/>
          </w:tcPr>
          <w:p>
            <w:pPr>
              <w:jc w:val="right"/>
              <w:ind w:right="2"/>
              <w:spacing w:after="0"/>
              <w:rPr>
                <w:sz w:val="20"/>
                <w:szCs w:val="20"/>
                <w:color w:val="auto"/>
              </w:rPr>
            </w:pPr>
            <w:r>
              <w:rPr>
                <w:rFonts w:ascii="Arial" w:cs="Arial" w:eastAsia="Arial" w:hAnsi="Arial"/>
                <w:sz w:val="16"/>
                <w:szCs w:val="16"/>
                <w:color w:val="auto"/>
                <w:w w:val="89"/>
              </w:rPr>
              <w:t>$</w:t>
            </w:r>
          </w:p>
        </w:tc>
        <w:tc>
          <w:tcPr>
            <w:tcW w:w="1580" w:type="dxa"/>
            <w:vAlign w:val="bottom"/>
          </w:tcPr>
          <w:p>
            <w:pPr>
              <w:jc w:val="right"/>
              <w:spacing w:after="0"/>
              <w:rPr>
                <w:sz w:val="20"/>
                <w:szCs w:val="20"/>
                <w:color w:val="auto"/>
              </w:rPr>
            </w:pPr>
            <w:r>
              <w:rPr>
                <w:rFonts w:ascii="Arial" w:cs="Arial" w:eastAsia="Arial" w:hAnsi="Arial"/>
                <w:sz w:val="16"/>
                <w:szCs w:val="16"/>
                <w:color w:val="auto"/>
              </w:rPr>
              <w:t>1,815</w:t>
            </w:r>
          </w:p>
        </w:tc>
        <w:tc>
          <w:tcPr>
            <w:tcW w:w="100" w:type="dxa"/>
            <w:vAlign w:val="bottom"/>
          </w:tcPr>
          <w:p>
            <w:pPr>
              <w:spacing w:after="0"/>
              <w:rPr>
                <w:sz w:val="17"/>
                <w:szCs w:val="17"/>
                <w:color w:val="auto"/>
              </w:rPr>
            </w:pP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1580" w:type="dxa"/>
            <w:vAlign w:val="bottom"/>
          </w:tcPr>
          <w:p>
            <w:pPr>
              <w:jc w:val="right"/>
              <w:spacing w:after="0"/>
              <w:rPr>
                <w:sz w:val="20"/>
                <w:szCs w:val="20"/>
                <w:color w:val="auto"/>
              </w:rPr>
            </w:pPr>
            <w:r>
              <w:rPr>
                <w:rFonts w:ascii="Arial" w:cs="Arial" w:eastAsia="Arial" w:hAnsi="Arial"/>
                <w:sz w:val="16"/>
                <w:szCs w:val="16"/>
                <w:color w:val="auto"/>
              </w:rPr>
              <w:t>1,395</w:t>
            </w:r>
          </w:p>
        </w:tc>
      </w:tr>
      <w:tr>
        <w:trPr>
          <w:trHeight w:val="212"/>
        </w:trPr>
        <w:tc>
          <w:tcPr>
            <w:tcW w:w="39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Interest on lease liabilities</w:t>
            </w:r>
          </w:p>
        </w:tc>
        <w:tc>
          <w:tcPr>
            <w:tcW w:w="18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545</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328</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1,256</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1,003</w:t>
            </w:r>
          </w:p>
        </w:tc>
      </w:tr>
      <w:tr>
        <w:trPr>
          <w:trHeight w:val="206"/>
        </w:trPr>
        <w:tc>
          <w:tcPr>
            <w:tcW w:w="3960" w:type="dxa"/>
            <w:vAlign w:val="bottom"/>
          </w:tcPr>
          <w:p>
            <w:pPr>
              <w:ind w:left="20"/>
              <w:spacing w:after="0"/>
              <w:rPr>
                <w:sz w:val="20"/>
                <w:szCs w:val="20"/>
                <w:color w:val="auto"/>
              </w:rPr>
            </w:pPr>
            <w:r>
              <w:rPr>
                <w:rFonts w:ascii="Arial" w:cs="Arial" w:eastAsia="Arial" w:hAnsi="Arial"/>
                <w:sz w:val="16"/>
                <w:szCs w:val="16"/>
                <w:color w:val="auto"/>
              </w:rPr>
              <w:t>Finance lease cost:</w:t>
            </w:r>
          </w:p>
        </w:tc>
        <w:tc>
          <w:tcPr>
            <w:tcW w:w="18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580" w:type="dxa"/>
            <w:vAlign w:val="bottom"/>
          </w:tcPr>
          <w:p>
            <w:pPr>
              <w:spacing w:after="0"/>
              <w:rPr>
                <w:sz w:val="17"/>
                <w:szCs w:val="17"/>
                <w:color w:val="auto"/>
              </w:rPr>
            </w:pPr>
          </w:p>
        </w:tc>
      </w:tr>
      <w:tr>
        <w:trPr>
          <w:trHeight w:val="212"/>
        </w:trPr>
        <w:tc>
          <w:tcPr>
            <w:tcW w:w="39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Amortization of right-of-use assets</w:t>
            </w:r>
          </w:p>
        </w:tc>
        <w:tc>
          <w:tcPr>
            <w:tcW w:w="18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w:t>
            </w:r>
          </w:p>
        </w:tc>
      </w:tr>
      <w:tr>
        <w:trPr>
          <w:trHeight w:val="206"/>
        </w:trPr>
        <w:tc>
          <w:tcPr>
            <w:tcW w:w="3960" w:type="dxa"/>
            <w:vAlign w:val="bottom"/>
          </w:tcPr>
          <w:p>
            <w:pPr>
              <w:ind w:left="220"/>
              <w:spacing w:after="0"/>
              <w:rPr>
                <w:sz w:val="20"/>
                <w:szCs w:val="20"/>
                <w:color w:val="auto"/>
              </w:rPr>
            </w:pPr>
            <w:r>
              <w:rPr>
                <w:rFonts w:ascii="Arial" w:cs="Arial" w:eastAsia="Arial" w:hAnsi="Arial"/>
                <w:sz w:val="16"/>
                <w:szCs w:val="16"/>
                <w:color w:val="auto"/>
              </w:rPr>
              <w:t>Interest on lease liabilities</w:t>
            </w:r>
          </w:p>
        </w:tc>
        <w:tc>
          <w:tcPr>
            <w:tcW w:w="180" w:type="dxa"/>
            <w:vAlign w:val="bottom"/>
          </w:tcPr>
          <w:p>
            <w:pPr>
              <w:spacing w:after="0"/>
              <w:rPr>
                <w:sz w:val="17"/>
                <w:szCs w:val="17"/>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1</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4</w:t>
            </w:r>
          </w:p>
        </w:tc>
      </w:tr>
      <w:tr>
        <w:trPr>
          <w:trHeight w:val="209"/>
        </w:trPr>
        <w:tc>
          <w:tcPr>
            <w:tcW w:w="3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Short-term lease cost</w:t>
            </w:r>
          </w:p>
        </w:tc>
        <w:tc>
          <w:tcPr>
            <w:tcW w:w="180" w:type="dxa"/>
            <w:vAlign w:val="bottom"/>
            <w:tcBorders>
              <w:bottom w:val="single" w:sz="8" w:color="auto"/>
            </w:tcBorders>
            <w:shd w:val="clear" w:color="auto" w:fill="CCEEFF"/>
          </w:tcPr>
          <w:p>
            <w:pPr>
              <w:spacing w:after="0"/>
              <w:rPr>
                <w:sz w:val="18"/>
                <w:szCs w:val="18"/>
                <w:color w:val="auto"/>
              </w:rPr>
            </w:pP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w:t>
            </w:r>
          </w:p>
        </w:tc>
        <w:tc>
          <w:tcPr>
            <w:tcW w:w="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w:t>
            </w:r>
          </w:p>
        </w:tc>
        <w:tc>
          <w:tcPr>
            <w:tcW w:w="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117</w:t>
            </w:r>
          </w:p>
        </w:tc>
        <w:tc>
          <w:tcPr>
            <w:tcW w:w="1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53</w:t>
            </w:r>
          </w:p>
        </w:tc>
      </w:tr>
      <w:tr>
        <w:trPr>
          <w:trHeight w:val="205"/>
        </w:trPr>
        <w:tc>
          <w:tcPr>
            <w:tcW w:w="3960" w:type="dxa"/>
            <w:vAlign w:val="bottom"/>
          </w:tcPr>
          <w:p>
            <w:pPr>
              <w:ind w:left="20"/>
              <w:spacing w:after="0"/>
              <w:rPr>
                <w:sz w:val="20"/>
                <w:szCs w:val="20"/>
                <w:color w:val="auto"/>
              </w:rPr>
            </w:pPr>
            <w:r>
              <w:rPr>
                <w:rFonts w:ascii="Arial" w:cs="Arial" w:eastAsia="Arial" w:hAnsi="Arial"/>
                <w:sz w:val="16"/>
                <w:szCs w:val="16"/>
                <w:color w:val="auto"/>
              </w:rPr>
              <w:t>Total lease cost</w:t>
            </w:r>
          </w:p>
        </w:tc>
        <w:tc>
          <w:tcPr>
            <w:tcW w:w="18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w w:val="89"/>
              </w:rPr>
              <w:t>$</w:t>
            </w: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1,246</w:t>
            </w:r>
          </w:p>
        </w:tc>
        <w:tc>
          <w:tcPr>
            <w:tcW w:w="80" w:type="dxa"/>
            <w:vAlign w:val="bottom"/>
          </w:tcPr>
          <w:p>
            <w:pPr>
              <w:spacing w:after="0"/>
              <w:rPr>
                <w:sz w:val="17"/>
                <w:szCs w:val="17"/>
                <w:color w:val="auto"/>
              </w:rPr>
            </w:pPr>
          </w:p>
        </w:tc>
        <w:tc>
          <w:tcPr>
            <w:tcW w:w="18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w w:val="89"/>
              </w:rPr>
              <w:t>$</w:t>
            </w: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847</w:t>
            </w:r>
          </w:p>
        </w:tc>
        <w:tc>
          <w:tcPr>
            <w:tcW w:w="80" w:type="dxa"/>
            <w:vAlign w:val="bottom"/>
          </w:tcPr>
          <w:p>
            <w:pPr>
              <w:spacing w:after="0"/>
              <w:rPr>
                <w:sz w:val="17"/>
                <w:szCs w:val="17"/>
                <w:color w:val="auto"/>
              </w:rPr>
            </w:pPr>
          </w:p>
        </w:tc>
        <w:tc>
          <w:tcPr>
            <w:tcW w:w="18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w w:val="89"/>
              </w:rPr>
              <w:t>$</w:t>
            </w: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3,198</w:t>
            </w:r>
          </w:p>
        </w:tc>
        <w:tc>
          <w:tcPr>
            <w:tcW w:w="100" w:type="dxa"/>
            <w:vAlign w:val="bottom"/>
          </w:tcPr>
          <w:p>
            <w:pPr>
              <w:spacing w:after="0"/>
              <w:rPr>
                <w:sz w:val="17"/>
                <w:szCs w:val="17"/>
                <w:color w:val="auto"/>
              </w:rPr>
            </w:pPr>
          </w:p>
        </w:tc>
        <w:tc>
          <w:tcPr>
            <w:tcW w:w="16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color w:val="auto"/>
                <w:w w:val="71"/>
              </w:rPr>
              <w:t>$</w:t>
            </w: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2,515</w:t>
            </w:r>
          </w:p>
        </w:tc>
      </w:tr>
      <w:tr>
        <w:trPr>
          <w:trHeight w:val="20"/>
        </w:trPr>
        <w:tc>
          <w:tcPr>
            <w:tcW w:w="39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13" w:name="page14"/>
    <w:bookmarkEnd w:id="13"/>
    <w:p>
      <w:pPr>
        <w:spacing w:after="0"/>
        <w:rPr>
          <w:sz w:val="20"/>
          <w:szCs w:val="20"/>
          <w:color w:val="auto"/>
        </w:rPr>
      </w:pPr>
      <w:r>
        <w:rPr>
          <w:rFonts w:ascii="Arial" w:cs="Arial" w:eastAsia="Arial" w:hAnsi="Arial"/>
          <w:sz w:val="17"/>
          <w:szCs w:val="17"/>
          <w:b w:val="1"/>
          <w:bCs w:val="1"/>
          <w:color w:val="auto"/>
        </w:rPr>
        <w:t>Weighted-Average Remaining Lease Term and Discount Rate</w:t>
      </w:r>
    </w:p>
    <w:p>
      <w:pPr>
        <w:spacing w:after="0" w:line="255" w:lineRule="exact"/>
        <w:rPr>
          <w:sz w:val="20"/>
          <w:szCs w:val="20"/>
          <w:color w:val="auto"/>
        </w:rPr>
      </w:pPr>
    </w:p>
    <w:p>
      <w:pPr>
        <w:ind w:left="320"/>
        <w:spacing w:after="0"/>
        <w:tabs>
          <w:tab w:leader="none" w:pos="760" w:val="left"/>
          <w:tab w:leader="none" w:pos="1620" w:val="left"/>
          <w:tab w:leader="none" w:pos="2140" w:val="left"/>
          <w:tab w:leader="none" w:pos="2960" w:val="left"/>
          <w:tab w:leader="none" w:pos="3360" w:val="left"/>
          <w:tab w:leader="none" w:pos="4780" w:val="left"/>
          <w:tab w:leader="none" w:pos="5680" w:val="left"/>
          <w:tab w:leader="none" w:pos="6220" w:val="left"/>
          <w:tab w:leader="none" w:pos="6720" w:val="left"/>
          <w:tab w:leader="none" w:pos="7160" w:val="left"/>
          <w:tab w:leader="none" w:pos="7940" w:val="left"/>
          <w:tab w:leader="none" w:pos="8380" w:val="left"/>
          <w:tab w:leader="none" w:pos="8780" w:val="left"/>
          <w:tab w:leader="none" w:pos="9480" w:val="left"/>
          <w:tab w:leader="none" w:pos="9920" w:val="left"/>
          <w:tab w:leader="none" w:pos="10760" w:val="left"/>
        </w:tabs>
        <w:rPr>
          <w:sz w:val="20"/>
          <w:szCs w:val="20"/>
          <w:color w:val="auto"/>
        </w:rPr>
      </w:pPr>
      <w:r>
        <w:rPr>
          <w:rFonts w:ascii="Arial" w:cs="Arial" w:eastAsia="Arial" w:hAnsi="Arial"/>
          <w:sz w:val="17"/>
          <w:szCs w:val="17"/>
          <w:color w:val="auto"/>
        </w:rPr>
        <w:t>The</w:t>
        <w:tab/>
        <w:t>following</w:t>
        <w:tab/>
        <w:t>table</w:t>
        <w:tab/>
        <w:t>discloses</w:t>
        <w:tab/>
        <w:t>the</w:t>
        <w:tab/>
        <w:t>weighted-average</w:t>
        <w:tab/>
        <w:t>remaining</w:t>
        <w:tab/>
        <w:t>lease</w:t>
        <w:tab/>
        <w:t>term</w:t>
        <w:tab/>
        <w:t>and</w:t>
        <w:tab/>
        <w:t>discount</w:t>
        <w:tab/>
        <w:t>rate</w:t>
        <w:tab/>
        <w:t>for</w:t>
        <w:tab/>
        <w:t>finance</w:t>
        <w:tab/>
        <w:t>and</w:t>
        <w:tab/>
        <w:t>operating</w:t>
      </w:r>
      <w:r>
        <w:rPr>
          <w:sz w:val="20"/>
          <w:szCs w:val="20"/>
          <w:color w:val="auto"/>
        </w:rPr>
        <w:tab/>
      </w:r>
      <w:r>
        <w:rPr>
          <w:rFonts w:ascii="Arial" w:cs="Arial" w:eastAsia="Arial" w:hAnsi="Arial"/>
          <w:sz w:val="14"/>
          <w:szCs w:val="14"/>
          <w:color w:val="auto"/>
        </w:rPr>
        <w:t>leases.</w:t>
      </w:r>
    </w:p>
    <w:p>
      <w:pPr>
        <w:sectPr>
          <w:pgSz w:w="11900" w:h="16838" w:orient="portrait"/>
          <w:cols w:equalWidth="0" w:num="1">
            <w:col w:w="11240"/>
          </w:cols>
          <w:pgMar w:left="320" w:top="866" w:right="339" w:bottom="1440" w:gutter="0" w:footer="0" w:header="0"/>
        </w:sectPr>
      </w:pPr>
    </w:p>
    <w:p>
      <w:pPr>
        <w:spacing w:after="0" w:line="55" w:lineRule="exact"/>
        <w:rPr>
          <w:sz w:val="20"/>
          <w:szCs w:val="20"/>
          <w:color w:val="auto"/>
        </w:rPr>
      </w:pPr>
    </w:p>
    <w:p>
      <w:pPr>
        <w:jc w:val="center"/>
        <w:ind w:left="6860"/>
        <w:spacing w:after="0"/>
        <w:rPr>
          <w:sz w:val="20"/>
          <w:szCs w:val="20"/>
          <w:color w:val="auto"/>
        </w:rPr>
      </w:pPr>
      <w:r>
        <w:rPr>
          <w:rFonts w:ascii="Arial" w:cs="Arial" w:eastAsia="Arial" w:hAnsi="Arial"/>
          <w:sz w:val="16"/>
          <w:szCs w:val="16"/>
          <w:color w:val="auto"/>
        </w:rPr>
        <w:t>As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4185285</wp:posOffset>
            </wp:positionH>
            <wp:positionV relativeFrom="paragraph">
              <wp:posOffset>13970</wp:posOffset>
            </wp:positionV>
            <wp:extent cx="144399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443990" cy="8255"/>
                    </a:xfrm>
                    <a:prstGeom prst="rect">
                      <a:avLst/>
                    </a:prstGeom>
                    <a:noFill/>
                  </pic:spPr>
                </pic:pic>
              </a:graphicData>
            </a:graphic>
          </wp:anchor>
        </w:drawing>
      </w:r>
    </w:p>
    <w:p>
      <w:pPr>
        <w:spacing w:after="0" w:line="18" w:lineRule="exact"/>
        <w:rPr>
          <w:sz w:val="20"/>
          <w:szCs w:val="20"/>
          <w:color w:val="auto"/>
        </w:rPr>
      </w:pPr>
    </w:p>
    <w:p>
      <w:pPr>
        <w:ind w:left="7260"/>
        <w:spacing w:after="0"/>
        <w:rPr>
          <w:sz w:val="20"/>
          <w:szCs w:val="20"/>
          <w:color w:val="auto"/>
        </w:rPr>
      </w:pPr>
      <w:r>
        <w:rPr>
          <w:rFonts w:ascii="Arial" w:cs="Arial" w:eastAsia="Arial" w:hAnsi="Arial"/>
          <w:sz w:val="13"/>
          <w:szCs w:val="13"/>
          <w:color w:val="auto"/>
        </w:rPr>
        <w:t>September 30, 2021</w:t>
      </w:r>
    </w:p>
    <w:p>
      <w:pPr>
        <w:spacing w:after="0" w:line="20" w:lineRule="exact"/>
        <w:rPr>
          <w:sz w:val="20"/>
          <w:szCs w:val="20"/>
          <w:color w:val="auto"/>
        </w:rPr>
      </w:pPr>
      <w:r>
        <w:rPr>
          <w:sz w:val="20"/>
          <w:szCs w:val="20"/>
          <w:color w:val="auto"/>
        </w:rPr>
        <w:br w:type="column"/>
      </w:r>
    </w:p>
    <w:p>
      <w:pPr>
        <w:spacing w:after="0" w:line="35" w:lineRule="exact"/>
        <w:rPr>
          <w:sz w:val="20"/>
          <w:szCs w:val="20"/>
          <w:color w:val="auto"/>
        </w:rPr>
      </w:pPr>
    </w:p>
    <w:p>
      <w:pPr>
        <w:jc w:val="center"/>
        <w:ind w:right="360"/>
        <w:spacing w:after="0"/>
        <w:rPr>
          <w:sz w:val="20"/>
          <w:szCs w:val="20"/>
          <w:color w:val="auto"/>
        </w:rPr>
      </w:pPr>
      <w:r>
        <w:rPr>
          <w:rFonts w:ascii="Arial" w:cs="Arial" w:eastAsia="Arial" w:hAnsi="Arial"/>
          <w:sz w:val="16"/>
          <w:szCs w:val="16"/>
          <w:color w:val="auto"/>
        </w:rPr>
        <w:t>As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-433705</wp:posOffset>
            </wp:positionH>
            <wp:positionV relativeFrom="paragraph">
              <wp:posOffset>13970</wp:posOffset>
            </wp:positionV>
            <wp:extent cx="145224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452245" cy="8255"/>
                    </a:xfrm>
                    <a:prstGeom prst="rect">
                      <a:avLst/>
                    </a:prstGeom>
                    <a:noFill/>
                  </pic:spPr>
                </pic:pic>
              </a:graphicData>
            </a:graphic>
          </wp:anchor>
        </w:drawing>
      </w:r>
    </w:p>
    <w:p>
      <w:pPr>
        <w:spacing w:after="0" w:line="18" w:lineRule="exact"/>
        <w:rPr>
          <w:sz w:val="20"/>
          <w:szCs w:val="20"/>
          <w:color w:val="auto"/>
        </w:rPr>
      </w:pPr>
    </w:p>
    <w:p>
      <w:pPr>
        <w:spacing w:after="0"/>
        <w:rPr>
          <w:sz w:val="20"/>
          <w:szCs w:val="20"/>
          <w:color w:val="auto"/>
        </w:rPr>
      </w:pPr>
      <w:r>
        <w:rPr>
          <w:rFonts w:ascii="Arial" w:cs="Arial" w:eastAsia="Arial" w:hAnsi="Arial"/>
          <w:sz w:val="13"/>
          <w:szCs w:val="13"/>
          <w:color w:val="auto"/>
        </w:rPr>
        <w:t>December 31, 2020</w:t>
      </w:r>
    </w:p>
    <w:p>
      <w:pPr>
        <w:spacing w:after="0" w:line="50" w:lineRule="exact"/>
        <w:rPr>
          <w:sz w:val="20"/>
          <w:szCs w:val="20"/>
          <w:color w:val="auto"/>
        </w:rPr>
      </w:pPr>
    </w:p>
    <w:p>
      <w:pPr>
        <w:sectPr>
          <w:pgSz w:w="11900" w:h="16838" w:orient="portrait"/>
          <w:cols w:equalWidth="0" w:num="2">
            <w:col w:w="8920" w:space="720"/>
            <w:col w:w="1600"/>
          </w:cols>
          <w:pgMar w:left="320" w:top="866" w:right="339" w:bottom="1440" w:gutter="0" w:footer="0" w:header="0"/>
          <w:type w:val="continuous"/>
        </w:sectPr>
      </w:pPr>
    </w:p>
    <w:tbl>
      <w:tblPr>
        <w:tblLayout w:type="fixed"/>
        <w:tblInd w:w="0" w:type="dxa"/>
        <w:tblCellMar>
          <w:top w:w="0" w:type="dxa"/>
          <w:left w:w="0" w:type="dxa"/>
          <w:bottom w:w="0" w:type="dxa"/>
          <w:right w:w="0" w:type="dxa"/>
        </w:tblCellMar>
      </w:tblPr>
      <w:tr>
        <w:trPr>
          <w:trHeight w:val="248"/>
        </w:trPr>
        <w:tc>
          <w:tcPr>
            <w:tcW w:w="6600" w:type="dxa"/>
            <w:vAlign w:val="bottom"/>
            <w:tcBorders>
              <w:top w:val="single" w:sz="8" w:color="CCEEFF"/>
            </w:tcBorders>
            <w:shd w:val="clear" w:color="auto" w:fill="CCEEFF"/>
          </w:tcPr>
          <w:p>
            <w:pPr>
              <w:spacing w:after="0"/>
              <w:rPr>
                <w:sz w:val="21"/>
                <w:szCs w:val="21"/>
                <w:color w:val="auto"/>
              </w:rPr>
            </w:pPr>
          </w:p>
        </w:tc>
        <w:tc>
          <w:tcPr>
            <w:tcW w:w="1940" w:type="dxa"/>
            <w:vAlign w:val="bottom"/>
            <w:tcBorders>
              <w:top w:val="single" w:sz="8" w:color="auto"/>
            </w:tcBorders>
            <w:shd w:val="clear" w:color="auto" w:fill="CCEEFF"/>
          </w:tcPr>
          <w:p>
            <w:pPr>
              <w:spacing w:after="0"/>
              <w:rPr>
                <w:sz w:val="21"/>
                <w:szCs w:val="21"/>
                <w:color w:val="auto"/>
              </w:rPr>
            </w:pPr>
          </w:p>
        </w:tc>
        <w:tc>
          <w:tcPr>
            <w:tcW w:w="320" w:type="dxa"/>
            <w:vAlign w:val="bottom"/>
            <w:tcBorders>
              <w:top w:val="single" w:sz="8" w:color="auto"/>
            </w:tcBorders>
            <w:shd w:val="clear" w:color="auto" w:fill="CCEEFF"/>
          </w:tcPr>
          <w:p>
            <w:pPr>
              <w:spacing w:after="0"/>
              <w:rPr>
                <w:sz w:val="21"/>
                <w:szCs w:val="21"/>
                <w:color w:val="auto"/>
              </w:rPr>
            </w:pPr>
          </w:p>
        </w:tc>
        <w:tc>
          <w:tcPr>
            <w:tcW w:w="100" w:type="dxa"/>
            <w:vAlign w:val="bottom"/>
            <w:tcBorders>
              <w:top w:val="single" w:sz="8" w:color="CCEEFF"/>
            </w:tcBorders>
            <w:shd w:val="clear" w:color="auto" w:fill="CCEEFF"/>
          </w:tcPr>
          <w:p>
            <w:pPr>
              <w:spacing w:after="0"/>
              <w:rPr>
                <w:sz w:val="21"/>
                <w:szCs w:val="21"/>
                <w:color w:val="auto"/>
              </w:rPr>
            </w:pPr>
          </w:p>
        </w:tc>
        <w:tc>
          <w:tcPr>
            <w:tcW w:w="1960" w:type="dxa"/>
            <w:vAlign w:val="bottom"/>
            <w:tcBorders>
              <w:top w:val="single" w:sz="8" w:color="auto"/>
            </w:tcBorders>
            <w:shd w:val="clear" w:color="auto" w:fill="CCEEFF"/>
          </w:tcPr>
          <w:p>
            <w:pPr>
              <w:spacing w:after="0"/>
              <w:rPr>
                <w:sz w:val="21"/>
                <w:szCs w:val="21"/>
                <w:color w:val="auto"/>
              </w:rPr>
            </w:pPr>
          </w:p>
        </w:tc>
        <w:tc>
          <w:tcPr>
            <w:tcW w:w="320" w:type="dxa"/>
            <w:vAlign w:val="bottom"/>
            <w:tcBorders>
              <w:top w:val="single" w:sz="8" w:color="auto"/>
            </w:tcBorders>
            <w:shd w:val="clear" w:color="auto" w:fill="CCEEFF"/>
          </w:tcPr>
          <w:p>
            <w:pPr>
              <w:spacing w:after="0"/>
              <w:rPr>
                <w:sz w:val="21"/>
                <w:szCs w:val="21"/>
                <w:color w:val="auto"/>
              </w:rPr>
            </w:pPr>
          </w:p>
        </w:tc>
      </w:tr>
      <w:tr>
        <w:trPr>
          <w:trHeight w:val="206"/>
        </w:trPr>
        <w:tc>
          <w:tcPr>
            <w:tcW w:w="6600" w:type="dxa"/>
            <w:vAlign w:val="bottom"/>
          </w:tcPr>
          <w:p>
            <w:pPr>
              <w:ind w:left="340"/>
              <w:spacing w:after="0"/>
              <w:rPr>
                <w:sz w:val="20"/>
                <w:szCs w:val="20"/>
                <w:color w:val="auto"/>
              </w:rPr>
            </w:pPr>
            <w:r>
              <w:rPr>
                <w:rFonts w:ascii="Arial" w:cs="Arial" w:eastAsia="Arial" w:hAnsi="Arial"/>
                <w:sz w:val="16"/>
                <w:szCs w:val="16"/>
                <w:color w:val="auto"/>
              </w:rPr>
              <w:t>Weighted-average lease term</w:t>
            </w:r>
          </w:p>
        </w:tc>
        <w:tc>
          <w:tcPr>
            <w:tcW w:w="19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960" w:type="dxa"/>
            <w:vAlign w:val="bottom"/>
          </w:tcPr>
          <w:p>
            <w:pPr>
              <w:spacing w:after="0"/>
              <w:rPr>
                <w:sz w:val="17"/>
                <w:szCs w:val="17"/>
                <w:color w:val="auto"/>
              </w:rPr>
            </w:pPr>
          </w:p>
        </w:tc>
        <w:tc>
          <w:tcPr>
            <w:tcW w:w="320" w:type="dxa"/>
            <w:vAlign w:val="bottom"/>
          </w:tcPr>
          <w:p>
            <w:pPr>
              <w:spacing w:after="0"/>
              <w:rPr>
                <w:sz w:val="17"/>
                <w:szCs w:val="17"/>
                <w:color w:val="auto"/>
              </w:rPr>
            </w:pPr>
          </w:p>
        </w:tc>
      </w:tr>
      <w:tr>
        <w:trPr>
          <w:trHeight w:val="212"/>
        </w:trPr>
        <w:tc>
          <w:tcPr>
            <w:tcW w:w="6600" w:type="dxa"/>
            <w:vAlign w:val="bottom"/>
            <w:shd w:val="clear" w:color="auto" w:fill="CCEEFF"/>
          </w:tcPr>
          <w:p>
            <w:pPr>
              <w:ind w:left="540"/>
              <w:spacing w:after="0"/>
              <w:rPr>
                <w:sz w:val="20"/>
                <w:szCs w:val="20"/>
                <w:color w:val="auto"/>
              </w:rPr>
            </w:pPr>
            <w:r>
              <w:rPr>
                <w:rFonts w:ascii="Arial" w:cs="Arial" w:eastAsia="Arial" w:hAnsi="Arial"/>
                <w:sz w:val="16"/>
                <w:szCs w:val="16"/>
                <w:color w:val="auto"/>
              </w:rPr>
              <w:t>Finance leases</w:t>
            </w:r>
          </w:p>
        </w:tc>
        <w:tc>
          <w:tcPr>
            <w:tcW w:w="236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1.8 years</w:t>
            </w:r>
          </w:p>
        </w:tc>
        <w:tc>
          <w:tcPr>
            <w:tcW w:w="22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1.8 years</w:t>
            </w:r>
          </w:p>
        </w:tc>
      </w:tr>
      <w:tr>
        <w:trPr>
          <w:trHeight w:val="206"/>
        </w:trPr>
        <w:tc>
          <w:tcPr>
            <w:tcW w:w="6600" w:type="dxa"/>
            <w:vAlign w:val="bottom"/>
          </w:tcPr>
          <w:p>
            <w:pPr>
              <w:ind w:left="540"/>
              <w:spacing w:after="0"/>
              <w:rPr>
                <w:sz w:val="20"/>
                <w:szCs w:val="20"/>
                <w:color w:val="auto"/>
              </w:rPr>
            </w:pPr>
            <w:r>
              <w:rPr>
                <w:rFonts w:ascii="Arial" w:cs="Arial" w:eastAsia="Arial" w:hAnsi="Arial"/>
                <w:sz w:val="16"/>
                <w:szCs w:val="16"/>
                <w:color w:val="auto"/>
              </w:rPr>
              <w:t>Operating Leases</w:t>
            </w:r>
          </w:p>
        </w:tc>
        <w:tc>
          <w:tcPr>
            <w:tcW w:w="2360" w:type="dxa"/>
            <w:vAlign w:val="bottom"/>
            <w:gridSpan w:val="3"/>
          </w:tcPr>
          <w:p>
            <w:pPr>
              <w:jc w:val="right"/>
              <w:ind w:right="120"/>
              <w:spacing w:after="0"/>
              <w:rPr>
                <w:sz w:val="20"/>
                <w:szCs w:val="20"/>
                <w:color w:val="auto"/>
              </w:rPr>
            </w:pPr>
            <w:r>
              <w:rPr>
                <w:rFonts w:ascii="Arial" w:cs="Arial" w:eastAsia="Arial" w:hAnsi="Arial"/>
                <w:sz w:val="16"/>
                <w:szCs w:val="16"/>
                <w:color w:val="auto"/>
              </w:rPr>
              <w:t>10.8 years</w:t>
            </w:r>
          </w:p>
        </w:tc>
        <w:tc>
          <w:tcPr>
            <w:tcW w:w="2280" w:type="dxa"/>
            <w:vAlign w:val="bottom"/>
            <w:gridSpan w:val="2"/>
          </w:tcPr>
          <w:p>
            <w:pPr>
              <w:jc w:val="right"/>
              <w:spacing w:after="0"/>
              <w:rPr>
                <w:sz w:val="20"/>
                <w:szCs w:val="20"/>
                <w:color w:val="auto"/>
              </w:rPr>
            </w:pPr>
            <w:r>
              <w:rPr>
                <w:rFonts w:ascii="Arial" w:cs="Arial" w:eastAsia="Arial" w:hAnsi="Arial"/>
                <w:sz w:val="16"/>
                <w:szCs w:val="16"/>
                <w:color w:val="auto"/>
              </w:rPr>
              <w:t>8.3 years</w:t>
            </w:r>
          </w:p>
        </w:tc>
      </w:tr>
      <w:tr>
        <w:trPr>
          <w:trHeight w:val="265"/>
        </w:trPr>
        <w:tc>
          <w:tcPr>
            <w:tcW w:w="6600" w:type="dxa"/>
            <w:vAlign w:val="bottom"/>
            <w:shd w:val="clear" w:color="auto" w:fill="CCEEFF"/>
          </w:tcPr>
          <w:p>
            <w:pPr>
              <w:spacing w:after="0"/>
              <w:rPr>
                <w:sz w:val="23"/>
                <w:szCs w:val="23"/>
                <w:color w:val="auto"/>
              </w:rPr>
            </w:pPr>
          </w:p>
        </w:tc>
        <w:tc>
          <w:tcPr>
            <w:tcW w:w="194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96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r>
      <w:tr>
        <w:trPr>
          <w:trHeight w:val="206"/>
        </w:trPr>
        <w:tc>
          <w:tcPr>
            <w:tcW w:w="6600" w:type="dxa"/>
            <w:vAlign w:val="bottom"/>
          </w:tcPr>
          <w:p>
            <w:pPr>
              <w:ind w:left="340"/>
              <w:spacing w:after="0"/>
              <w:rPr>
                <w:sz w:val="20"/>
                <w:szCs w:val="20"/>
                <w:color w:val="auto"/>
              </w:rPr>
            </w:pPr>
            <w:r>
              <w:rPr>
                <w:rFonts w:ascii="Arial" w:cs="Arial" w:eastAsia="Arial" w:hAnsi="Arial"/>
                <w:sz w:val="16"/>
                <w:szCs w:val="16"/>
                <w:color w:val="auto"/>
              </w:rPr>
              <w:t>Weighted-average discount rate</w:t>
            </w:r>
          </w:p>
        </w:tc>
        <w:tc>
          <w:tcPr>
            <w:tcW w:w="19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960" w:type="dxa"/>
            <w:vAlign w:val="bottom"/>
          </w:tcPr>
          <w:p>
            <w:pPr>
              <w:spacing w:after="0"/>
              <w:rPr>
                <w:sz w:val="17"/>
                <w:szCs w:val="17"/>
                <w:color w:val="auto"/>
              </w:rPr>
            </w:pPr>
          </w:p>
        </w:tc>
        <w:tc>
          <w:tcPr>
            <w:tcW w:w="320" w:type="dxa"/>
            <w:vAlign w:val="bottom"/>
          </w:tcPr>
          <w:p>
            <w:pPr>
              <w:spacing w:after="0"/>
              <w:rPr>
                <w:sz w:val="17"/>
                <w:szCs w:val="17"/>
                <w:color w:val="auto"/>
              </w:rPr>
            </w:pPr>
          </w:p>
        </w:tc>
      </w:tr>
      <w:tr>
        <w:trPr>
          <w:trHeight w:val="212"/>
        </w:trPr>
        <w:tc>
          <w:tcPr>
            <w:tcW w:w="6600" w:type="dxa"/>
            <w:vAlign w:val="bottom"/>
            <w:shd w:val="clear" w:color="auto" w:fill="CCEEFF"/>
          </w:tcPr>
          <w:p>
            <w:pPr>
              <w:ind w:left="540"/>
              <w:spacing w:after="0"/>
              <w:rPr>
                <w:sz w:val="20"/>
                <w:szCs w:val="20"/>
                <w:color w:val="auto"/>
              </w:rPr>
            </w:pPr>
            <w:r>
              <w:rPr>
                <w:rFonts w:ascii="Arial" w:cs="Arial" w:eastAsia="Arial" w:hAnsi="Arial"/>
                <w:sz w:val="16"/>
                <w:szCs w:val="16"/>
                <w:color w:val="auto"/>
              </w:rPr>
              <w:t>Finance leases</w:t>
            </w:r>
          </w:p>
        </w:tc>
        <w:tc>
          <w:tcPr>
            <w:tcW w:w="1940" w:type="dxa"/>
            <w:vAlign w:val="bottom"/>
            <w:shd w:val="clear" w:color="auto" w:fill="CCEEFF"/>
          </w:tcPr>
          <w:p>
            <w:pPr>
              <w:jc w:val="right"/>
              <w:ind w:right="102"/>
              <w:spacing w:after="0"/>
              <w:rPr>
                <w:sz w:val="20"/>
                <w:szCs w:val="20"/>
                <w:color w:val="auto"/>
              </w:rPr>
            </w:pPr>
            <w:r>
              <w:rPr>
                <w:rFonts w:ascii="Arial" w:cs="Arial" w:eastAsia="Arial" w:hAnsi="Arial"/>
                <w:sz w:val="16"/>
                <w:szCs w:val="16"/>
                <w:color w:val="auto"/>
              </w:rPr>
              <w:t>6.9</w:t>
            </w:r>
          </w:p>
        </w:tc>
        <w:tc>
          <w:tcPr>
            <w:tcW w:w="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8"/>
                <w:szCs w:val="18"/>
                <w:color w:val="auto"/>
              </w:rPr>
            </w:pPr>
          </w:p>
        </w:tc>
        <w:tc>
          <w:tcPr>
            <w:tcW w:w="1960" w:type="dxa"/>
            <w:vAlign w:val="bottom"/>
            <w:shd w:val="clear" w:color="auto" w:fill="CCEEFF"/>
          </w:tcPr>
          <w:p>
            <w:pPr>
              <w:jc w:val="right"/>
              <w:ind w:right="102"/>
              <w:spacing w:after="0"/>
              <w:rPr>
                <w:sz w:val="20"/>
                <w:szCs w:val="20"/>
                <w:color w:val="auto"/>
              </w:rPr>
            </w:pPr>
            <w:r>
              <w:rPr>
                <w:rFonts w:ascii="Arial" w:cs="Arial" w:eastAsia="Arial" w:hAnsi="Arial"/>
                <w:sz w:val="16"/>
                <w:szCs w:val="16"/>
                <w:color w:val="auto"/>
              </w:rPr>
              <w:t>7.2</w:t>
            </w:r>
          </w:p>
        </w:tc>
        <w:tc>
          <w:tcPr>
            <w:tcW w:w="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03"/>
        </w:trPr>
        <w:tc>
          <w:tcPr>
            <w:tcW w:w="6600" w:type="dxa"/>
            <w:vAlign w:val="bottom"/>
          </w:tcPr>
          <w:p>
            <w:pPr>
              <w:ind w:left="540"/>
              <w:spacing w:after="0"/>
              <w:rPr>
                <w:sz w:val="20"/>
                <w:szCs w:val="20"/>
                <w:color w:val="auto"/>
              </w:rPr>
            </w:pPr>
            <w:r>
              <w:rPr>
                <w:rFonts w:ascii="Arial" w:cs="Arial" w:eastAsia="Arial" w:hAnsi="Arial"/>
                <w:sz w:val="16"/>
                <w:szCs w:val="16"/>
                <w:color w:val="auto"/>
              </w:rPr>
              <w:t>Operating leases</w:t>
            </w:r>
          </w:p>
        </w:tc>
        <w:tc>
          <w:tcPr>
            <w:tcW w:w="1940" w:type="dxa"/>
            <w:vAlign w:val="bottom"/>
          </w:tcPr>
          <w:p>
            <w:pPr>
              <w:jc w:val="right"/>
              <w:ind w:right="102"/>
              <w:spacing w:after="0"/>
              <w:rPr>
                <w:sz w:val="20"/>
                <w:szCs w:val="20"/>
                <w:color w:val="auto"/>
              </w:rPr>
            </w:pPr>
            <w:r>
              <w:rPr>
                <w:rFonts w:ascii="Arial" w:cs="Arial" w:eastAsia="Arial" w:hAnsi="Arial"/>
                <w:sz w:val="16"/>
                <w:szCs w:val="16"/>
                <w:color w:val="auto"/>
              </w:rPr>
              <w:t>8.4</w:t>
            </w:r>
          </w:p>
        </w:tc>
        <w:tc>
          <w:tcPr>
            <w:tcW w:w="32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1960" w:type="dxa"/>
            <w:vAlign w:val="bottom"/>
          </w:tcPr>
          <w:p>
            <w:pPr>
              <w:jc w:val="right"/>
              <w:ind w:right="102"/>
              <w:spacing w:after="0"/>
              <w:rPr>
                <w:sz w:val="20"/>
                <w:szCs w:val="20"/>
                <w:color w:val="auto"/>
              </w:rPr>
            </w:pPr>
            <w:r>
              <w:rPr>
                <w:rFonts w:ascii="Arial" w:cs="Arial" w:eastAsia="Arial" w:hAnsi="Arial"/>
                <w:sz w:val="16"/>
                <w:szCs w:val="16"/>
                <w:color w:val="auto"/>
              </w:rPr>
              <w:t>8.4</w:t>
            </w:r>
          </w:p>
        </w:tc>
        <w:tc>
          <w:tcPr>
            <w:tcW w:w="320" w:type="dxa"/>
            <w:vAlign w:val="bottom"/>
          </w:tcPr>
          <w:p>
            <w:pPr>
              <w:jc w:val="right"/>
              <w:spacing w:after="0"/>
              <w:rPr>
                <w:sz w:val="20"/>
                <w:szCs w:val="20"/>
                <w:color w:val="auto"/>
              </w:rPr>
            </w:pPr>
            <w:r>
              <w:rPr>
                <w:rFonts w:ascii="Arial" w:cs="Arial" w:eastAsia="Arial" w:hAnsi="Arial"/>
                <w:sz w:val="16"/>
                <w:szCs w:val="16"/>
                <w:color w:val="auto"/>
              </w:rPr>
              <w:t>%</w:t>
            </w:r>
          </w:p>
        </w:tc>
      </w:tr>
    </w:tbl>
    <w:p>
      <w:pPr>
        <w:spacing w:after="0" w:line="31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Supplemental Cash Flow Information</w:t>
      </w:r>
    </w:p>
    <w:p>
      <w:pPr>
        <w:spacing w:after="0" w:line="255" w:lineRule="exact"/>
        <w:rPr>
          <w:sz w:val="20"/>
          <w:szCs w:val="20"/>
          <w:color w:val="auto"/>
        </w:rPr>
      </w:pPr>
    </w:p>
    <w:p>
      <w:pPr>
        <w:ind w:left="320"/>
        <w:spacing w:after="0"/>
        <w:rPr>
          <w:sz w:val="20"/>
          <w:szCs w:val="20"/>
          <w:color w:val="auto"/>
        </w:rPr>
      </w:pPr>
      <w:r>
        <w:rPr>
          <w:rFonts w:ascii="Arial" w:cs="Arial" w:eastAsia="Arial" w:hAnsi="Arial"/>
          <w:sz w:val="17"/>
          <w:szCs w:val="17"/>
          <w:color w:val="auto"/>
        </w:rPr>
        <w:t>The below table discloses supplemental cash flow information for finance and operating leases (in thousands):</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684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4120" w:type="dxa"/>
            <w:vAlign w:val="bottom"/>
            <w:tcBorders>
              <w:bottom w:val="single" w:sz="8" w:color="auto"/>
            </w:tcBorders>
            <w:gridSpan w:val="4"/>
          </w:tcPr>
          <w:p>
            <w:pPr>
              <w:jc w:val="right"/>
              <w:ind w:right="1475"/>
              <w:spacing w:after="0"/>
              <w:rPr>
                <w:sz w:val="20"/>
                <w:szCs w:val="20"/>
                <w:color w:val="auto"/>
              </w:rPr>
            </w:pPr>
            <w:r>
              <w:rPr>
                <w:rFonts w:ascii="Arial" w:cs="Arial" w:eastAsia="Arial" w:hAnsi="Arial"/>
                <w:sz w:val="16"/>
                <w:szCs w:val="16"/>
                <w:color w:val="auto"/>
              </w:rPr>
              <w:t>Nine Months Ended</w:t>
            </w:r>
          </w:p>
        </w:tc>
      </w:tr>
      <w:tr>
        <w:trPr>
          <w:trHeight w:val="202"/>
        </w:trPr>
        <w:tc>
          <w:tcPr>
            <w:tcW w:w="68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960" w:type="dxa"/>
            <w:vAlign w:val="bottom"/>
            <w:gridSpan w:val="2"/>
          </w:tcPr>
          <w:p>
            <w:pPr>
              <w:ind w:left="160"/>
              <w:spacing w:after="0"/>
              <w:rPr>
                <w:sz w:val="20"/>
                <w:szCs w:val="20"/>
                <w:color w:val="auto"/>
              </w:rPr>
            </w:pPr>
            <w:r>
              <w:rPr>
                <w:rFonts w:ascii="Arial" w:cs="Arial" w:eastAsia="Arial" w:hAnsi="Arial"/>
                <w:sz w:val="16"/>
                <w:szCs w:val="16"/>
                <w:color w:val="auto"/>
              </w:rPr>
              <w:t>September 30, 2021</w:t>
            </w:r>
          </w:p>
        </w:tc>
        <w:tc>
          <w:tcPr>
            <w:tcW w:w="280" w:type="dxa"/>
            <w:vAlign w:val="bottom"/>
          </w:tcPr>
          <w:p>
            <w:pPr>
              <w:spacing w:after="0"/>
              <w:rPr>
                <w:sz w:val="17"/>
                <w:szCs w:val="17"/>
                <w:color w:val="auto"/>
              </w:rPr>
            </w:pPr>
          </w:p>
        </w:tc>
        <w:tc>
          <w:tcPr>
            <w:tcW w:w="1880" w:type="dxa"/>
            <w:vAlign w:val="bottom"/>
          </w:tcPr>
          <w:p>
            <w:pPr>
              <w:jc w:val="right"/>
              <w:ind w:right="355"/>
              <w:spacing w:after="0"/>
              <w:rPr>
                <w:sz w:val="20"/>
                <w:szCs w:val="20"/>
                <w:color w:val="auto"/>
              </w:rPr>
            </w:pPr>
            <w:r>
              <w:rPr>
                <w:rFonts w:ascii="Arial" w:cs="Arial" w:eastAsia="Arial" w:hAnsi="Arial"/>
                <w:sz w:val="16"/>
                <w:szCs w:val="16"/>
                <w:color w:val="auto"/>
                <w:w w:val="97"/>
              </w:rPr>
              <w:t>September 30, 2020</w:t>
            </w:r>
          </w:p>
        </w:tc>
      </w:tr>
      <w:tr>
        <w:trPr>
          <w:trHeight w:val="245"/>
        </w:trPr>
        <w:tc>
          <w:tcPr>
            <w:tcW w:w="6840" w:type="dxa"/>
            <w:vAlign w:val="bottom"/>
          </w:tcPr>
          <w:p>
            <w:pPr>
              <w:spacing w:after="0"/>
              <w:rPr>
                <w:sz w:val="21"/>
                <w:szCs w:val="21"/>
                <w:color w:val="auto"/>
              </w:rPr>
            </w:pPr>
          </w:p>
        </w:tc>
        <w:tc>
          <w:tcPr>
            <w:tcW w:w="280" w:type="dxa"/>
            <w:vAlign w:val="bottom"/>
            <w:tcBorders>
              <w:top w:val="single" w:sz="8" w:color="auto"/>
            </w:tcBorders>
          </w:tcPr>
          <w:p>
            <w:pPr>
              <w:spacing w:after="0"/>
              <w:rPr>
                <w:sz w:val="21"/>
                <w:szCs w:val="21"/>
                <w:color w:val="auto"/>
              </w:rPr>
            </w:pPr>
          </w:p>
        </w:tc>
        <w:tc>
          <w:tcPr>
            <w:tcW w:w="1880" w:type="dxa"/>
            <w:vAlign w:val="bottom"/>
            <w:tcBorders>
              <w:top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280" w:type="dxa"/>
            <w:vAlign w:val="bottom"/>
            <w:tcBorders>
              <w:top w:val="single" w:sz="8" w:color="auto"/>
            </w:tcBorders>
          </w:tcPr>
          <w:p>
            <w:pPr>
              <w:spacing w:after="0"/>
              <w:rPr>
                <w:sz w:val="21"/>
                <w:szCs w:val="21"/>
                <w:color w:val="auto"/>
              </w:rPr>
            </w:pPr>
          </w:p>
        </w:tc>
        <w:tc>
          <w:tcPr>
            <w:tcW w:w="1880" w:type="dxa"/>
            <w:vAlign w:val="bottom"/>
            <w:tcBorders>
              <w:top w:val="single" w:sz="8" w:color="auto"/>
            </w:tcBorders>
          </w:tcPr>
          <w:p>
            <w:pPr>
              <w:spacing w:after="0"/>
              <w:rPr>
                <w:sz w:val="21"/>
                <w:szCs w:val="21"/>
                <w:color w:val="auto"/>
              </w:rPr>
            </w:pPr>
          </w:p>
        </w:tc>
      </w:tr>
      <w:tr>
        <w:trPr>
          <w:trHeight w:val="261"/>
        </w:trPr>
        <w:tc>
          <w:tcPr>
            <w:tcW w:w="684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188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1880" w:type="dxa"/>
            <w:vAlign w:val="bottom"/>
            <w:shd w:val="clear" w:color="auto" w:fill="CCEEFF"/>
          </w:tcPr>
          <w:p>
            <w:pPr>
              <w:spacing w:after="0"/>
              <w:rPr>
                <w:sz w:val="22"/>
                <w:szCs w:val="22"/>
                <w:color w:val="auto"/>
              </w:rPr>
            </w:pPr>
          </w:p>
        </w:tc>
      </w:tr>
      <w:tr>
        <w:trPr>
          <w:trHeight w:val="222"/>
        </w:trPr>
        <w:tc>
          <w:tcPr>
            <w:tcW w:w="6840" w:type="dxa"/>
            <w:vAlign w:val="bottom"/>
          </w:tcPr>
          <w:p>
            <w:pPr>
              <w:ind w:left="20"/>
              <w:spacing w:after="0"/>
              <w:rPr>
                <w:sz w:val="20"/>
                <w:szCs w:val="20"/>
                <w:color w:val="auto"/>
              </w:rPr>
            </w:pPr>
            <w:r>
              <w:rPr>
                <w:rFonts w:ascii="Arial" w:cs="Arial" w:eastAsia="Arial" w:hAnsi="Arial"/>
                <w:sz w:val="17"/>
                <w:szCs w:val="17"/>
                <w:color w:val="auto"/>
              </w:rPr>
              <w:t>Cash paid for amounts included in the measurement of lease liabilities:</w:t>
            </w:r>
          </w:p>
        </w:tc>
        <w:tc>
          <w:tcPr>
            <w:tcW w:w="280" w:type="dxa"/>
            <w:vAlign w:val="bottom"/>
          </w:tcPr>
          <w:p>
            <w:pPr>
              <w:spacing w:after="0"/>
              <w:rPr>
                <w:sz w:val="19"/>
                <w:szCs w:val="19"/>
                <w:color w:val="auto"/>
              </w:rPr>
            </w:pPr>
          </w:p>
        </w:tc>
        <w:tc>
          <w:tcPr>
            <w:tcW w:w="18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880" w:type="dxa"/>
            <w:vAlign w:val="bottom"/>
          </w:tcPr>
          <w:p>
            <w:pPr>
              <w:spacing w:after="0"/>
              <w:rPr>
                <w:sz w:val="19"/>
                <w:szCs w:val="19"/>
                <w:color w:val="auto"/>
              </w:rPr>
            </w:pPr>
          </w:p>
        </w:tc>
      </w:tr>
      <w:tr>
        <w:trPr>
          <w:trHeight w:val="222"/>
        </w:trPr>
        <w:tc>
          <w:tcPr>
            <w:tcW w:w="6840" w:type="dxa"/>
            <w:vAlign w:val="bottom"/>
            <w:shd w:val="clear" w:color="auto" w:fill="CCEEFF"/>
          </w:tcPr>
          <w:p>
            <w:pPr>
              <w:ind w:left="220"/>
              <w:spacing w:after="0"/>
              <w:rPr>
                <w:sz w:val="20"/>
                <w:szCs w:val="20"/>
                <w:color w:val="auto"/>
              </w:rPr>
            </w:pPr>
            <w:r>
              <w:rPr>
                <w:rFonts w:ascii="Arial" w:cs="Arial" w:eastAsia="Arial" w:hAnsi="Arial"/>
                <w:sz w:val="17"/>
                <w:szCs w:val="17"/>
                <w:color w:val="auto"/>
              </w:rPr>
              <w:t>Operating cash flows for operating leases</w:t>
            </w:r>
          </w:p>
        </w:tc>
        <w:tc>
          <w:tcPr>
            <w:tcW w:w="28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8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3,420</w:t>
            </w:r>
          </w:p>
        </w:tc>
        <w:tc>
          <w:tcPr>
            <w:tcW w:w="8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rPr>
              <w:t>$</w:t>
            </w:r>
          </w:p>
        </w:tc>
        <w:tc>
          <w:tcPr>
            <w:tcW w:w="18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2,283</w:t>
            </w:r>
          </w:p>
        </w:tc>
      </w:tr>
      <w:tr>
        <w:trPr>
          <w:trHeight w:val="222"/>
        </w:trPr>
        <w:tc>
          <w:tcPr>
            <w:tcW w:w="6840" w:type="dxa"/>
            <w:vAlign w:val="bottom"/>
          </w:tcPr>
          <w:p>
            <w:pPr>
              <w:ind w:left="220"/>
              <w:spacing w:after="0"/>
              <w:rPr>
                <w:sz w:val="20"/>
                <w:szCs w:val="20"/>
                <w:color w:val="auto"/>
              </w:rPr>
            </w:pPr>
            <w:r>
              <w:rPr>
                <w:rFonts w:ascii="Arial" w:cs="Arial" w:eastAsia="Arial" w:hAnsi="Arial"/>
                <w:sz w:val="17"/>
                <w:szCs w:val="17"/>
                <w:color w:val="auto"/>
              </w:rPr>
              <w:t>Operating cash flows for finance leases</w:t>
            </w:r>
          </w:p>
        </w:tc>
        <w:tc>
          <w:tcPr>
            <w:tcW w:w="280" w:type="dxa"/>
            <w:vAlign w:val="bottom"/>
          </w:tcPr>
          <w:p>
            <w:pPr>
              <w:spacing w:after="0"/>
              <w:rPr>
                <w:sz w:val="19"/>
                <w:szCs w:val="19"/>
                <w:color w:val="auto"/>
              </w:rPr>
            </w:pPr>
          </w:p>
        </w:tc>
        <w:tc>
          <w:tcPr>
            <w:tcW w:w="1880" w:type="dxa"/>
            <w:vAlign w:val="bottom"/>
          </w:tcPr>
          <w:p>
            <w:pPr>
              <w:jc w:val="right"/>
              <w:spacing w:after="0"/>
              <w:rPr>
                <w:sz w:val="20"/>
                <w:szCs w:val="20"/>
                <w:color w:val="auto"/>
              </w:rPr>
            </w:pPr>
            <w:r>
              <w:rPr>
                <w:rFonts w:ascii="Arial" w:cs="Arial" w:eastAsia="Arial" w:hAnsi="Arial"/>
                <w:sz w:val="17"/>
                <w:szCs w:val="17"/>
                <w:color w:val="auto"/>
              </w:rPr>
              <w:t>1</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880" w:type="dxa"/>
            <w:vAlign w:val="bottom"/>
          </w:tcPr>
          <w:p>
            <w:pPr>
              <w:jc w:val="right"/>
              <w:spacing w:after="0"/>
              <w:rPr>
                <w:sz w:val="20"/>
                <w:szCs w:val="20"/>
                <w:color w:val="auto"/>
              </w:rPr>
            </w:pPr>
            <w:r>
              <w:rPr>
                <w:rFonts w:ascii="Arial" w:cs="Arial" w:eastAsia="Arial" w:hAnsi="Arial"/>
                <w:sz w:val="17"/>
                <w:szCs w:val="17"/>
                <w:color w:val="auto"/>
              </w:rPr>
              <w:t>4</w:t>
            </w:r>
          </w:p>
        </w:tc>
      </w:tr>
      <w:tr>
        <w:trPr>
          <w:trHeight w:val="222"/>
        </w:trPr>
        <w:tc>
          <w:tcPr>
            <w:tcW w:w="6840" w:type="dxa"/>
            <w:vAlign w:val="bottom"/>
            <w:shd w:val="clear" w:color="auto" w:fill="CCEEFF"/>
          </w:tcPr>
          <w:p>
            <w:pPr>
              <w:ind w:left="220"/>
              <w:spacing w:after="0"/>
              <w:rPr>
                <w:sz w:val="20"/>
                <w:szCs w:val="20"/>
                <w:color w:val="auto"/>
              </w:rPr>
            </w:pPr>
            <w:r>
              <w:rPr>
                <w:rFonts w:ascii="Arial" w:cs="Arial" w:eastAsia="Arial" w:hAnsi="Arial"/>
                <w:sz w:val="17"/>
                <w:szCs w:val="17"/>
                <w:color w:val="auto"/>
              </w:rPr>
              <w:t>Financing cash flows for finance leases</w:t>
            </w:r>
          </w:p>
        </w:tc>
        <w:tc>
          <w:tcPr>
            <w:tcW w:w="280" w:type="dxa"/>
            <w:vAlign w:val="bottom"/>
            <w:shd w:val="clear" w:color="auto" w:fill="CCEEFF"/>
          </w:tcPr>
          <w:p>
            <w:pPr>
              <w:spacing w:after="0"/>
              <w:rPr>
                <w:sz w:val="19"/>
                <w:szCs w:val="19"/>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w:t>
            </w:r>
          </w:p>
        </w:tc>
        <w:tc>
          <w:tcPr>
            <w:tcW w:w="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53</w:t>
            </w:r>
          </w:p>
        </w:tc>
      </w:tr>
    </w:tbl>
    <w:p>
      <w:pPr>
        <w:spacing w:after="0" w:line="29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Maturity Analysis</w:t>
      </w:r>
    </w:p>
    <w:p>
      <w:pPr>
        <w:spacing w:after="0" w:line="255" w:lineRule="exact"/>
        <w:rPr>
          <w:sz w:val="20"/>
          <w:szCs w:val="20"/>
          <w:color w:val="auto"/>
        </w:rPr>
      </w:pPr>
    </w:p>
    <w:p>
      <w:pPr>
        <w:jc w:val="both"/>
        <w:ind w:firstLine="314"/>
        <w:spacing w:after="0" w:line="280" w:lineRule="auto"/>
        <w:rPr>
          <w:sz w:val="20"/>
          <w:szCs w:val="20"/>
          <w:color w:val="auto"/>
        </w:rPr>
      </w:pPr>
      <w:r>
        <w:rPr>
          <w:rFonts w:ascii="Arial" w:cs="Arial" w:eastAsia="Arial" w:hAnsi="Arial"/>
          <w:sz w:val="17"/>
          <w:szCs w:val="17"/>
          <w:color w:val="auto"/>
        </w:rPr>
        <w:t>The following table reflects undiscounted cash flows on an annual basis for the Company’s lease liabilities as of September 30, 2021 (amounts in thousands):</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7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40" w:type="dxa"/>
            <w:vAlign w:val="bottom"/>
            <w:gridSpan w:val="2"/>
          </w:tcPr>
          <w:p>
            <w:pPr>
              <w:ind w:left="140"/>
              <w:spacing w:after="0"/>
              <w:rPr>
                <w:sz w:val="20"/>
                <w:szCs w:val="20"/>
                <w:color w:val="auto"/>
              </w:rPr>
            </w:pPr>
            <w:r>
              <w:rPr>
                <w:rFonts w:ascii="Arial" w:cs="Arial" w:eastAsia="Arial" w:hAnsi="Arial"/>
                <w:sz w:val="17"/>
                <w:szCs w:val="17"/>
                <w:color w:val="auto"/>
              </w:rPr>
              <w:t>Operating Leases</w:t>
            </w:r>
          </w:p>
        </w:tc>
        <w:tc>
          <w:tcPr>
            <w:tcW w:w="260" w:type="dxa"/>
            <w:vAlign w:val="bottom"/>
          </w:tcPr>
          <w:p>
            <w:pPr>
              <w:spacing w:after="0"/>
              <w:rPr>
                <w:sz w:val="19"/>
                <w:szCs w:val="19"/>
                <w:color w:val="auto"/>
              </w:rPr>
            </w:pPr>
          </w:p>
        </w:tc>
        <w:tc>
          <w:tcPr>
            <w:tcW w:w="1700" w:type="dxa"/>
            <w:vAlign w:val="bottom"/>
          </w:tcPr>
          <w:p>
            <w:pPr>
              <w:jc w:val="right"/>
              <w:ind w:right="353"/>
              <w:spacing w:after="0"/>
              <w:rPr>
                <w:sz w:val="20"/>
                <w:szCs w:val="20"/>
                <w:color w:val="auto"/>
              </w:rPr>
            </w:pPr>
            <w:r>
              <w:rPr>
                <w:rFonts w:ascii="Arial" w:cs="Arial" w:eastAsia="Arial" w:hAnsi="Arial"/>
                <w:sz w:val="17"/>
                <w:szCs w:val="17"/>
                <w:color w:val="auto"/>
              </w:rPr>
              <w:t>Finance Leases</w:t>
            </w:r>
          </w:p>
        </w:tc>
      </w:tr>
      <w:tr>
        <w:trPr>
          <w:trHeight w:val="242"/>
        </w:trPr>
        <w:tc>
          <w:tcPr>
            <w:tcW w:w="7160" w:type="dxa"/>
            <w:vAlign w:val="bottom"/>
          </w:tcPr>
          <w:p>
            <w:pPr>
              <w:spacing w:after="0"/>
              <w:rPr>
                <w:sz w:val="21"/>
                <w:szCs w:val="21"/>
                <w:color w:val="auto"/>
              </w:rPr>
            </w:pPr>
          </w:p>
        </w:tc>
        <w:tc>
          <w:tcPr>
            <w:tcW w:w="240" w:type="dxa"/>
            <w:vAlign w:val="bottom"/>
            <w:tcBorders>
              <w:top w:val="single" w:sz="8" w:color="auto"/>
            </w:tcBorders>
          </w:tcPr>
          <w:p>
            <w:pPr>
              <w:spacing w:after="0"/>
              <w:rPr>
                <w:sz w:val="21"/>
                <w:szCs w:val="21"/>
                <w:color w:val="auto"/>
              </w:rPr>
            </w:pPr>
          </w:p>
        </w:tc>
        <w:tc>
          <w:tcPr>
            <w:tcW w:w="172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Borders>
              <w:top w:val="single" w:sz="8" w:color="auto"/>
            </w:tcBorders>
          </w:tcPr>
          <w:p>
            <w:pPr>
              <w:spacing w:after="0"/>
              <w:rPr>
                <w:sz w:val="21"/>
                <w:szCs w:val="21"/>
                <w:color w:val="auto"/>
              </w:rPr>
            </w:pPr>
          </w:p>
        </w:tc>
        <w:tc>
          <w:tcPr>
            <w:tcW w:w="1700" w:type="dxa"/>
            <w:vAlign w:val="bottom"/>
            <w:tcBorders>
              <w:top w:val="single" w:sz="8" w:color="auto"/>
            </w:tcBorders>
          </w:tcPr>
          <w:p>
            <w:pPr>
              <w:spacing w:after="0"/>
              <w:rPr>
                <w:sz w:val="21"/>
                <w:szCs w:val="21"/>
                <w:color w:val="auto"/>
              </w:rPr>
            </w:pPr>
          </w:p>
        </w:tc>
      </w:tr>
      <w:tr>
        <w:trPr>
          <w:trHeight w:val="222"/>
        </w:trPr>
        <w:tc>
          <w:tcPr>
            <w:tcW w:w="716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2021 (remaining)</w:t>
            </w:r>
          </w:p>
        </w:tc>
        <w:tc>
          <w:tcPr>
            <w:tcW w:w="24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2,496</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w:t>
            </w:r>
          </w:p>
        </w:tc>
      </w:tr>
      <w:tr>
        <w:trPr>
          <w:trHeight w:val="222"/>
        </w:trPr>
        <w:tc>
          <w:tcPr>
            <w:tcW w:w="7160" w:type="dxa"/>
            <w:vAlign w:val="bottom"/>
          </w:tcPr>
          <w:p>
            <w:pPr>
              <w:ind w:left="20"/>
              <w:spacing w:after="0"/>
              <w:rPr>
                <w:sz w:val="20"/>
                <w:szCs w:val="20"/>
                <w:color w:val="auto"/>
              </w:rPr>
            </w:pPr>
            <w:r>
              <w:rPr>
                <w:rFonts w:ascii="Arial" w:cs="Arial" w:eastAsia="Arial" w:hAnsi="Arial"/>
                <w:sz w:val="17"/>
                <w:szCs w:val="17"/>
                <w:color w:val="auto"/>
              </w:rPr>
              <w:t>2022</w:t>
            </w:r>
          </w:p>
        </w:tc>
        <w:tc>
          <w:tcPr>
            <w:tcW w:w="24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5,220</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7"/>
                <w:szCs w:val="17"/>
                <w:color w:val="auto"/>
              </w:rPr>
              <w:t>6</w:t>
            </w:r>
          </w:p>
        </w:tc>
      </w:tr>
      <w:tr>
        <w:trPr>
          <w:trHeight w:val="222"/>
        </w:trPr>
        <w:tc>
          <w:tcPr>
            <w:tcW w:w="716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2023</w:t>
            </w:r>
          </w:p>
        </w:tc>
        <w:tc>
          <w:tcPr>
            <w:tcW w:w="24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5,140</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w:t>
            </w:r>
          </w:p>
        </w:tc>
      </w:tr>
      <w:tr>
        <w:trPr>
          <w:trHeight w:val="222"/>
        </w:trPr>
        <w:tc>
          <w:tcPr>
            <w:tcW w:w="7160" w:type="dxa"/>
            <w:vAlign w:val="bottom"/>
          </w:tcPr>
          <w:p>
            <w:pPr>
              <w:ind w:left="20"/>
              <w:spacing w:after="0"/>
              <w:rPr>
                <w:sz w:val="20"/>
                <w:szCs w:val="20"/>
                <w:color w:val="auto"/>
              </w:rPr>
            </w:pPr>
            <w:r>
              <w:rPr>
                <w:rFonts w:ascii="Arial" w:cs="Arial" w:eastAsia="Arial" w:hAnsi="Arial"/>
                <w:sz w:val="17"/>
                <w:szCs w:val="17"/>
                <w:color w:val="auto"/>
              </w:rPr>
              <w:t>2024</w:t>
            </w:r>
          </w:p>
        </w:tc>
        <w:tc>
          <w:tcPr>
            <w:tcW w:w="24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5,019</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22"/>
        </w:trPr>
        <w:tc>
          <w:tcPr>
            <w:tcW w:w="716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2025</w:t>
            </w:r>
          </w:p>
        </w:tc>
        <w:tc>
          <w:tcPr>
            <w:tcW w:w="24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5,057</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22"/>
        </w:trPr>
        <w:tc>
          <w:tcPr>
            <w:tcW w:w="71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Thereafter</w:t>
            </w:r>
          </w:p>
        </w:tc>
        <w:tc>
          <w:tcPr>
            <w:tcW w:w="24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30,995</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r>
      <w:tr>
        <w:trPr>
          <w:trHeight w:val="215"/>
        </w:trPr>
        <w:tc>
          <w:tcPr>
            <w:tcW w:w="716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lease payments</w:t>
            </w:r>
          </w:p>
        </w:tc>
        <w:tc>
          <w:tcPr>
            <w:tcW w:w="24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53,927</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w:t>
            </w:r>
          </w:p>
        </w:tc>
      </w:tr>
      <w:tr>
        <w:trPr>
          <w:trHeight w:val="222"/>
        </w:trPr>
        <w:tc>
          <w:tcPr>
            <w:tcW w:w="71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Imputed interest</w:t>
            </w:r>
          </w:p>
        </w:tc>
        <w:tc>
          <w:tcPr>
            <w:tcW w:w="24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(20,941)</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w:t>
            </w:r>
          </w:p>
        </w:tc>
      </w:tr>
      <w:tr>
        <w:trPr>
          <w:trHeight w:val="240"/>
        </w:trPr>
        <w:tc>
          <w:tcPr>
            <w:tcW w:w="7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Discounted lease liability</w:t>
            </w:r>
          </w:p>
        </w:tc>
        <w:tc>
          <w:tcPr>
            <w:tcW w:w="24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32,986</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w:t>
            </w:r>
          </w:p>
        </w:tc>
      </w:tr>
      <w:tr>
        <w:trPr>
          <w:trHeight w:val="20"/>
        </w:trPr>
        <w:tc>
          <w:tcPr>
            <w:tcW w:w="71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jc w:val="both"/>
        <w:ind w:firstLine="235"/>
        <w:spacing w:after="0" w:line="297" w:lineRule="auto"/>
        <w:rPr>
          <w:sz w:val="20"/>
          <w:szCs w:val="20"/>
          <w:color w:val="auto"/>
        </w:rPr>
      </w:pPr>
      <w:r>
        <w:rPr>
          <w:rFonts w:ascii="Arial" w:cs="Arial" w:eastAsia="Arial" w:hAnsi="Arial"/>
          <w:sz w:val="16"/>
          <w:szCs w:val="16"/>
          <w:color w:val="auto"/>
        </w:rPr>
        <w:t>As of September 30, 2021, the Company executed an additional operating lease for a new gateway location. This lease had not yet commenced as of September 30, 2021 since the lessor is continuing to ready the site for use. Accordingly, this lease is not included on the balance sheet as of September 30, 2021 or in the maturity table above. The Company is in the process of evaluating this lease obligation and expects it to be approximately $2.5 million.</w:t>
      </w: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type w:val="continuous"/>
        </w:sectPr>
      </w:pPr>
    </w:p>
    <w:bookmarkStart w:id="14" w:name="page15"/>
    <w:bookmarkEnd w:id="14"/>
    <w:tbl>
      <w:tblPr>
        <w:tblLayout w:type="fixed"/>
        <w:tblInd w:w="0" w:type="dxa"/>
        <w:tblCellMar>
          <w:top w:w="0" w:type="dxa"/>
          <w:left w:w="0" w:type="dxa"/>
          <w:bottom w:w="0" w:type="dxa"/>
          <w:right w:w="0" w:type="dxa"/>
        </w:tblCellMar>
      </w:tblPr>
      <w:tr>
        <w:trPr>
          <w:trHeight w:val="227"/>
        </w:trPr>
        <w:tc>
          <w:tcPr>
            <w:tcW w:w="8140" w:type="dxa"/>
            <w:vAlign w:val="bottom"/>
          </w:tcPr>
          <w:p>
            <w:pPr>
              <w:spacing w:after="0"/>
              <w:rPr>
                <w:sz w:val="20"/>
                <w:szCs w:val="20"/>
                <w:color w:val="auto"/>
              </w:rPr>
            </w:pPr>
            <w:r>
              <w:rPr>
                <w:rFonts w:ascii="Arial" w:cs="Arial" w:eastAsia="Arial" w:hAnsi="Arial"/>
                <w:sz w:val="17"/>
                <w:szCs w:val="17"/>
                <w:b w:val="1"/>
                <w:bCs w:val="1"/>
                <w:color w:val="auto"/>
              </w:rPr>
              <w:t>4. PROPERTY AND EQUIPMENT</w:t>
            </w:r>
          </w:p>
        </w:tc>
        <w:tc>
          <w:tcPr>
            <w:tcW w:w="18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tcPr>
          <w:p>
            <w:pPr>
              <w:spacing w:after="0"/>
              <w:rPr>
                <w:sz w:val="19"/>
                <w:szCs w:val="19"/>
                <w:color w:val="auto"/>
              </w:rPr>
            </w:pPr>
          </w:p>
        </w:tc>
      </w:tr>
      <w:tr>
        <w:trPr>
          <w:trHeight w:val="444"/>
        </w:trPr>
        <w:tc>
          <w:tcPr>
            <w:tcW w:w="8140" w:type="dxa"/>
            <w:vAlign w:val="bottom"/>
          </w:tcPr>
          <w:p>
            <w:pPr>
              <w:ind w:left="240"/>
              <w:spacing w:after="0"/>
              <w:rPr>
                <w:sz w:val="20"/>
                <w:szCs w:val="20"/>
                <w:color w:val="auto"/>
              </w:rPr>
            </w:pPr>
            <w:r>
              <w:rPr>
                <w:rFonts w:ascii="Arial" w:cs="Arial" w:eastAsia="Arial" w:hAnsi="Arial"/>
                <w:sz w:val="17"/>
                <w:szCs w:val="17"/>
                <w:color w:val="auto"/>
              </w:rPr>
              <w:t>Property and equipment consists of the following (in thousands):</w:t>
            </w:r>
          </w:p>
        </w:tc>
        <w:tc>
          <w:tcPr>
            <w:tcW w:w="18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288"/>
        </w:trPr>
        <w:tc>
          <w:tcPr>
            <w:tcW w:w="8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80" w:type="dxa"/>
            <w:vAlign w:val="bottom"/>
            <w:gridSpan w:val="2"/>
          </w:tcPr>
          <w:p>
            <w:pPr>
              <w:ind w:left="80"/>
              <w:spacing w:after="0"/>
              <w:rPr>
                <w:sz w:val="20"/>
                <w:szCs w:val="20"/>
                <w:color w:val="auto"/>
              </w:rPr>
            </w:pPr>
            <w:r>
              <w:rPr>
                <w:rFonts w:ascii="Arial" w:cs="Arial" w:eastAsia="Arial" w:hAnsi="Arial"/>
                <w:sz w:val="17"/>
                <w:szCs w:val="17"/>
                <w:color w:val="auto"/>
              </w:rPr>
              <w:t>September 30,</w:t>
            </w:r>
          </w:p>
        </w:tc>
        <w:tc>
          <w:tcPr>
            <w:tcW w:w="160" w:type="dxa"/>
            <w:vAlign w:val="bottom"/>
          </w:tcPr>
          <w:p>
            <w:pPr>
              <w:spacing w:after="0"/>
              <w:rPr>
                <w:sz w:val="24"/>
                <w:szCs w:val="24"/>
                <w:color w:val="auto"/>
              </w:rPr>
            </w:pPr>
          </w:p>
        </w:tc>
        <w:tc>
          <w:tcPr>
            <w:tcW w:w="1260" w:type="dxa"/>
            <w:vAlign w:val="bottom"/>
          </w:tcPr>
          <w:p>
            <w:pPr>
              <w:jc w:val="right"/>
              <w:ind w:right="133"/>
              <w:spacing w:after="0"/>
              <w:rPr>
                <w:sz w:val="20"/>
                <w:szCs w:val="20"/>
                <w:color w:val="auto"/>
              </w:rPr>
            </w:pPr>
            <w:r>
              <w:rPr>
                <w:rFonts w:ascii="Arial" w:cs="Arial" w:eastAsia="Arial" w:hAnsi="Arial"/>
                <w:sz w:val="17"/>
                <w:szCs w:val="17"/>
                <w:color w:val="auto"/>
                <w:w w:val="95"/>
              </w:rPr>
              <w:t>December 31,</w:t>
            </w:r>
          </w:p>
        </w:tc>
      </w:tr>
      <w:tr>
        <w:trPr>
          <w:trHeight w:val="221"/>
        </w:trPr>
        <w:tc>
          <w:tcPr>
            <w:tcW w:w="814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513"/>
              <w:spacing w:after="0"/>
              <w:rPr>
                <w:sz w:val="20"/>
                <w:szCs w:val="20"/>
                <w:color w:val="auto"/>
              </w:rPr>
            </w:pPr>
            <w:r>
              <w:rPr>
                <w:rFonts w:ascii="Arial" w:cs="Arial" w:eastAsia="Arial" w:hAnsi="Arial"/>
                <w:sz w:val="17"/>
                <w:szCs w:val="17"/>
                <w:color w:val="auto"/>
              </w:rPr>
              <w:t>2021</w:t>
            </w:r>
          </w:p>
        </w:tc>
        <w:tc>
          <w:tcPr>
            <w:tcW w:w="1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ind w:right="453"/>
              <w:spacing w:after="0"/>
              <w:rPr>
                <w:sz w:val="20"/>
                <w:szCs w:val="20"/>
                <w:color w:val="auto"/>
              </w:rPr>
            </w:pPr>
            <w:r>
              <w:rPr>
                <w:rFonts w:ascii="Arial" w:cs="Arial" w:eastAsia="Arial" w:hAnsi="Arial"/>
                <w:sz w:val="17"/>
                <w:szCs w:val="17"/>
                <w:color w:val="auto"/>
              </w:rPr>
              <w:t>2020</w:t>
            </w:r>
          </w:p>
        </w:tc>
      </w:tr>
      <w:tr>
        <w:trPr>
          <w:trHeight w:val="215"/>
        </w:trPr>
        <w:tc>
          <w:tcPr>
            <w:tcW w:w="8140" w:type="dxa"/>
            <w:vAlign w:val="bottom"/>
          </w:tcPr>
          <w:p>
            <w:pPr>
              <w:ind w:left="20"/>
              <w:spacing w:after="0"/>
              <w:rPr>
                <w:sz w:val="20"/>
                <w:szCs w:val="20"/>
                <w:color w:val="auto"/>
              </w:rPr>
            </w:pPr>
            <w:r>
              <w:rPr>
                <w:rFonts w:ascii="Arial" w:cs="Arial" w:eastAsia="Arial" w:hAnsi="Arial"/>
                <w:sz w:val="17"/>
                <w:szCs w:val="17"/>
                <w:color w:val="auto"/>
              </w:rPr>
              <w:t>Globalstar System:</w:t>
            </w:r>
          </w:p>
        </w:tc>
        <w:tc>
          <w:tcPr>
            <w:tcW w:w="1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60" w:type="dxa"/>
            <w:vAlign w:val="bottom"/>
          </w:tcPr>
          <w:p>
            <w:pPr>
              <w:spacing w:after="0"/>
              <w:rPr>
                <w:sz w:val="18"/>
                <w:szCs w:val="18"/>
                <w:color w:val="auto"/>
              </w:rPr>
            </w:pPr>
          </w:p>
        </w:tc>
      </w:tr>
      <w:tr>
        <w:trPr>
          <w:trHeight w:val="222"/>
        </w:trPr>
        <w:tc>
          <w:tcPr>
            <w:tcW w:w="8140" w:type="dxa"/>
            <w:vAlign w:val="bottom"/>
            <w:shd w:val="clear" w:color="auto" w:fill="CCEEFF"/>
          </w:tcPr>
          <w:p>
            <w:pPr>
              <w:ind w:left="220"/>
              <w:spacing w:after="0"/>
              <w:rPr>
                <w:sz w:val="20"/>
                <w:szCs w:val="20"/>
                <w:color w:val="auto"/>
              </w:rPr>
            </w:pPr>
            <w:r>
              <w:rPr>
                <w:rFonts w:ascii="Arial" w:cs="Arial" w:eastAsia="Arial" w:hAnsi="Arial"/>
                <w:sz w:val="17"/>
                <w:szCs w:val="17"/>
                <w:color w:val="auto"/>
              </w:rPr>
              <w:t>Space component</w:t>
            </w:r>
          </w:p>
        </w:tc>
        <w:tc>
          <w:tcPr>
            <w:tcW w:w="18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r>
      <w:tr>
        <w:trPr>
          <w:trHeight w:val="222"/>
        </w:trPr>
        <w:tc>
          <w:tcPr>
            <w:tcW w:w="8140" w:type="dxa"/>
            <w:vAlign w:val="bottom"/>
          </w:tcPr>
          <w:p>
            <w:pPr>
              <w:ind w:left="460"/>
              <w:spacing w:after="0"/>
              <w:rPr>
                <w:sz w:val="20"/>
                <w:szCs w:val="20"/>
                <w:color w:val="auto"/>
              </w:rPr>
            </w:pPr>
            <w:r>
              <w:rPr>
                <w:rFonts w:ascii="Arial" w:cs="Arial" w:eastAsia="Arial" w:hAnsi="Arial"/>
                <w:sz w:val="17"/>
                <w:szCs w:val="17"/>
                <w:color w:val="auto"/>
              </w:rPr>
              <w:t>First and second-generation satellites in service</w:t>
            </w: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360" w:type="dxa"/>
            <w:vAlign w:val="bottom"/>
          </w:tcPr>
          <w:p>
            <w:pPr>
              <w:jc w:val="right"/>
              <w:spacing w:after="0"/>
              <w:rPr>
                <w:sz w:val="20"/>
                <w:szCs w:val="20"/>
                <w:color w:val="auto"/>
              </w:rPr>
            </w:pPr>
            <w:r>
              <w:rPr>
                <w:rFonts w:ascii="Arial" w:cs="Arial" w:eastAsia="Arial" w:hAnsi="Arial"/>
                <w:sz w:val="17"/>
                <w:szCs w:val="17"/>
                <w:color w:val="auto"/>
              </w:rPr>
              <w:t>1,195,509</w:t>
            </w:r>
          </w:p>
        </w:tc>
        <w:tc>
          <w:tcPr>
            <w:tcW w:w="1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260" w:type="dxa"/>
            <w:vAlign w:val="bottom"/>
          </w:tcPr>
          <w:p>
            <w:pPr>
              <w:jc w:val="right"/>
              <w:spacing w:after="0"/>
              <w:rPr>
                <w:sz w:val="20"/>
                <w:szCs w:val="20"/>
                <w:color w:val="auto"/>
              </w:rPr>
            </w:pPr>
            <w:r>
              <w:rPr>
                <w:rFonts w:ascii="Arial" w:cs="Arial" w:eastAsia="Arial" w:hAnsi="Arial"/>
                <w:sz w:val="17"/>
                <w:szCs w:val="17"/>
                <w:color w:val="auto"/>
              </w:rPr>
              <w:t>1,195,509</w:t>
            </w:r>
          </w:p>
        </w:tc>
      </w:tr>
      <w:tr>
        <w:trPr>
          <w:trHeight w:val="222"/>
        </w:trPr>
        <w:tc>
          <w:tcPr>
            <w:tcW w:w="8140" w:type="dxa"/>
            <w:vAlign w:val="bottom"/>
            <w:shd w:val="clear" w:color="auto" w:fill="CCEEFF"/>
          </w:tcPr>
          <w:p>
            <w:pPr>
              <w:ind w:left="460"/>
              <w:spacing w:after="0"/>
              <w:rPr>
                <w:sz w:val="20"/>
                <w:szCs w:val="20"/>
                <w:color w:val="auto"/>
              </w:rPr>
            </w:pPr>
            <w:r>
              <w:rPr>
                <w:rFonts w:ascii="Arial" w:cs="Arial" w:eastAsia="Arial" w:hAnsi="Arial"/>
                <w:sz w:val="17"/>
                <w:szCs w:val="17"/>
                <w:color w:val="auto"/>
              </w:rPr>
              <w:t>Second-generation satellite, on-ground spare</w:t>
            </w:r>
          </w:p>
        </w:tc>
        <w:tc>
          <w:tcPr>
            <w:tcW w:w="18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32,443</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32,443</w:t>
            </w:r>
          </w:p>
        </w:tc>
      </w:tr>
      <w:tr>
        <w:trPr>
          <w:trHeight w:val="222"/>
        </w:trPr>
        <w:tc>
          <w:tcPr>
            <w:tcW w:w="8140" w:type="dxa"/>
            <w:vAlign w:val="bottom"/>
          </w:tcPr>
          <w:p>
            <w:pPr>
              <w:ind w:left="220"/>
              <w:spacing w:after="0"/>
              <w:rPr>
                <w:sz w:val="20"/>
                <w:szCs w:val="20"/>
                <w:color w:val="auto"/>
              </w:rPr>
            </w:pPr>
            <w:r>
              <w:rPr>
                <w:rFonts w:ascii="Arial" w:cs="Arial" w:eastAsia="Arial" w:hAnsi="Arial"/>
                <w:sz w:val="17"/>
                <w:szCs w:val="17"/>
                <w:color w:val="auto"/>
              </w:rPr>
              <w:t>Ground component</w:t>
            </w:r>
          </w:p>
        </w:tc>
        <w:tc>
          <w:tcPr>
            <w:tcW w:w="18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279,984</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272,492</w:t>
            </w:r>
          </w:p>
        </w:tc>
      </w:tr>
      <w:tr>
        <w:trPr>
          <w:trHeight w:val="222"/>
        </w:trPr>
        <w:tc>
          <w:tcPr>
            <w:tcW w:w="814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Construction in progress:</w:t>
            </w:r>
          </w:p>
        </w:tc>
        <w:tc>
          <w:tcPr>
            <w:tcW w:w="18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r>
      <w:tr>
        <w:trPr>
          <w:trHeight w:val="222"/>
        </w:trPr>
        <w:tc>
          <w:tcPr>
            <w:tcW w:w="8140" w:type="dxa"/>
            <w:vAlign w:val="bottom"/>
          </w:tcPr>
          <w:p>
            <w:pPr>
              <w:ind w:left="460"/>
              <w:spacing w:after="0"/>
              <w:rPr>
                <w:sz w:val="20"/>
                <w:szCs w:val="20"/>
                <w:color w:val="auto"/>
              </w:rPr>
            </w:pPr>
            <w:r>
              <w:rPr>
                <w:rFonts w:ascii="Arial" w:cs="Arial" w:eastAsia="Arial" w:hAnsi="Arial"/>
                <w:sz w:val="17"/>
                <w:szCs w:val="17"/>
                <w:color w:val="auto"/>
              </w:rPr>
              <w:t>Space component</w:t>
            </w:r>
          </w:p>
        </w:tc>
        <w:tc>
          <w:tcPr>
            <w:tcW w:w="18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9,426</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398</w:t>
            </w:r>
          </w:p>
        </w:tc>
      </w:tr>
      <w:tr>
        <w:trPr>
          <w:trHeight w:val="222"/>
        </w:trPr>
        <w:tc>
          <w:tcPr>
            <w:tcW w:w="8140" w:type="dxa"/>
            <w:vAlign w:val="bottom"/>
            <w:shd w:val="clear" w:color="auto" w:fill="CCEEFF"/>
          </w:tcPr>
          <w:p>
            <w:pPr>
              <w:ind w:left="460"/>
              <w:spacing w:after="0"/>
              <w:rPr>
                <w:sz w:val="20"/>
                <w:szCs w:val="20"/>
                <w:color w:val="auto"/>
              </w:rPr>
            </w:pPr>
            <w:r>
              <w:rPr>
                <w:rFonts w:ascii="Arial" w:cs="Arial" w:eastAsia="Arial" w:hAnsi="Arial"/>
                <w:sz w:val="17"/>
                <w:szCs w:val="17"/>
                <w:color w:val="auto"/>
              </w:rPr>
              <w:t>Ground component</w:t>
            </w:r>
          </w:p>
        </w:tc>
        <w:tc>
          <w:tcPr>
            <w:tcW w:w="18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34,047</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19,327</w:t>
            </w:r>
          </w:p>
        </w:tc>
      </w:tr>
      <w:tr>
        <w:trPr>
          <w:trHeight w:val="222"/>
        </w:trPr>
        <w:tc>
          <w:tcPr>
            <w:tcW w:w="8140" w:type="dxa"/>
            <w:vAlign w:val="bottom"/>
            <w:tcBorders>
              <w:bottom w:val="single" w:sz="8" w:color="CCEEFF"/>
            </w:tcBorders>
          </w:tcPr>
          <w:p>
            <w:pPr>
              <w:ind w:left="460"/>
              <w:spacing w:after="0"/>
              <w:rPr>
                <w:sz w:val="20"/>
                <w:szCs w:val="20"/>
                <w:color w:val="auto"/>
              </w:rPr>
            </w:pPr>
            <w:r>
              <w:rPr>
                <w:rFonts w:ascii="Arial" w:cs="Arial" w:eastAsia="Arial" w:hAnsi="Arial"/>
                <w:sz w:val="17"/>
                <w:szCs w:val="17"/>
                <w:color w:val="auto"/>
              </w:rPr>
              <w:t>Other</w:t>
            </w:r>
          </w:p>
        </w:tc>
        <w:tc>
          <w:tcPr>
            <w:tcW w:w="18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3,535</w:t>
            </w:r>
          </w:p>
        </w:tc>
        <w:tc>
          <w:tcPr>
            <w:tcW w:w="1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2,900</w:t>
            </w:r>
          </w:p>
        </w:tc>
      </w:tr>
      <w:tr>
        <w:trPr>
          <w:trHeight w:val="215"/>
        </w:trPr>
        <w:tc>
          <w:tcPr>
            <w:tcW w:w="814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Globalstar System</w:t>
            </w:r>
          </w:p>
        </w:tc>
        <w:tc>
          <w:tcPr>
            <w:tcW w:w="18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1,554,944</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1,523,069</w:t>
            </w:r>
          </w:p>
        </w:tc>
      </w:tr>
      <w:tr>
        <w:trPr>
          <w:trHeight w:val="222"/>
        </w:trPr>
        <w:tc>
          <w:tcPr>
            <w:tcW w:w="8140" w:type="dxa"/>
            <w:vAlign w:val="bottom"/>
          </w:tcPr>
          <w:p>
            <w:pPr>
              <w:ind w:left="20"/>
              <w:spacing w:after="0"/>
              <w:rPr>
                <w:sz w:val="20"/>
                <w:szCs w:val="20"/>
                <w:color w:val="auto"/>
              </w:rPr>
            </w:pPr>
            <w:r>
              <w:rPr>
                <w:rFonts w:ascii="Arial" w:cs="Arial" w:eastAsia="Arial" w:hAnsi="Arial"/>
                <w:sz w:val="17"/>
                <w:szCs w:val="17"/>
                <w:color w:val="auto"/>
              </w:rPr>
              <w:t>Internally developed and purchased software</w:t>
            </w:r>
          </w:p>
        </w:tc>
        <w:tc>
          <w:tcPr>
            <w:tcW w:w="18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26,057</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23,984</w:t>
            </w:r>
          </w:p>
        </w:tc>
      </w:tr>
      <w:tr>
        <w:trPr>
          <w:trHeight w:val="222"/>
        </w:trPr>
        <w:tc>
          <w:tcPr>
            <w:tcW w:w="8140" w:type="dxa"/>
            <w:vAlign w:val="bottom"/>
            <w:shd w:val="clear" w:color="auto" w:fill="CCEEFF"/>
          </w:tcPr>
          <w:p>
            <w:pPr>
              <w:ind w:left="20"/>
              <w:spacing w:after="0"/>
              <w:rPr>
                <w:sz w:val="20"/>
                <w:szCs w:val="20"/>
                <w:color w:val="auto"/>
              </w:rPr>
            </w:pPr>
            <w:r>
              <w:rPr>
                <w:rFonts w:ascii="Arial" w:cs="Arial" w:eastAsia="Arial" w:hAnsi="Arial"/>
                <w:sz w:val="17"/>
                <w:szCs w:val="17"/>
                <w:color w:val="auto"/>
              </w:rPr>
              <w:t>Equipment</w:t>
            </w:r>
          </w:p>
        </w:tc>
        <w:tc>
          <w:tcPr>
            <w:tcW w:w="18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11,042</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9,679</w:t>
            </w:r>
          </w:p>
        </w:tc>
      </w:tr>
      <w:tr>
        <w:trPr>
          <w:trHeight w:val="222"/>
        </w:trPr>
        <w:tc>
          <w:tcPr>
            <w:tcW w:w="8140" w:type="dxa"/>
            <w:vAlign w:val="bottom"/>
          </w:tcPr>
          <w:p>
            <w:pPr>
              <w:ind w:left="20"/>
              <w:spacing w:after="0"/>
              <w:rPr>
                <w:sz w:val="20"/>
                <w:szCs w:val="20"/>
                <w:color w:val="auto"/>
              </w:rPr>
            </w:pPr>
            <w:r>
              <w:rPr>
                <w:rFonts w:ascii="Arial" w:cs="Arial" w:eastAsia="Arial" w:hAnsi="Arial"/>
                <w:sz w:val="17"/>
                <w:szCs w:val="17"/>
                <w:color w:val="auto"/>
              </w:rPr>
              <w:t>Land and buildings</w:t>
            </w:r>
          </w:p>
        </w:tc>
        <w:tc>
          <w:tcPr>
            <w:tcW w:w="18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1,166</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3,110</w:t>
            </w:r>
          </w:p>
        </w:tc>
      </w:tr>
      <w:tr>
        <w:trPr>
          <w:trHeight w:val="222"/>
        </w:trPr>
        <w:tc>
          <w:tcPr>
            <w:tcW w:w="8140" w:type="dxa"/>
            <w:vAlign w:val="bottom"/>
            <w:shd w:val="clear" w:color="auto" w:fill="CCEEFF"/>
          </w:tcPr>
          <w:p>
            <w:pPr>
              <w:ind w:left="20"/>
              <w:spacing w:after="0"/>
              <w:rPr>
                <w:sz w:val="20"/>
                <w:szCs w:val="20"/>
                <w:color w:val="auto"/>
              </w:rPr>
            </w:pPr>
            <w:r>
              <w:rPr>
                <w:rFonts w:ascii="Arial" w:cs="Arial" w:eastAsia="Arial" w:hAnsi="Arial"/>
                <w:sz w:val="17"/>
                <w:szCs w:val="17"/>
                <w:color w:val="auto"/>
              </w:rPr>
              <w:t>Leasehold improvements</w:t>
            </w:r>
          </w:p>
        </w:tc>
        <w:tc>
          <w:tcPr>
            <w:tcW w:w="180" w:type="dxa"/>
            <w:vAlign w:val="bottom"/>
            <w:tcBorders>
              <w:bottom w:val="single" w:sz="8" w:color="auto"/>
            </w:tcBorders>
            <w:shd w:val="clear" w:color="auto" w:fill="CCEEFF"/>
          </w:tcPr>
          <w:p>
            <w:pPr>
              <w:spacing w:after="0"/>
              <w:rPr>
                <w:sz w:val="19"/>
                <w:szCs w:val="19"/>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1,668</w:t>
            </w: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1,655</w:t>
            </w:r>
          </w:p>
        </w:tc>
      </w:tr>
      <w:tr>
        <w:trPr>
          <w:trHeight w:val="215"/>
        </w:trPr>
        <w:tc>
          <w:tcPr>
            <w:tcW w:w="8140" w:type="dxa"/>
            <w:vAlign w:val="bottom"/>
          </w:tcPr>
          <w:p>
            <w:pPr>
              <w:ind w:left="20"/>
              <w:spacing w:after="0"/>
              <w:rPr>
                <w:sz w:val="20"/>
                <w:szCs w:val="20"/>
                <w:color w:val="auto"/>
              </w:rPr>
            </w:pPr>
            <w:r>
              <w:rPr>
                <w:rFonts w:ascii="Arial" w:cs="Arial" w:eastAsia="Arial" w:hAnsi="Arial"/>
                <w:sz w:val="17"/>
                <w:szCs w:val="17"/>
                <w:color w:val="auto"/>
              </w:rPr>
              <w:t>Total property and equipment</w:t>
            </w:r>
          </w:p>
        </w:tc>
        <w:tc>
          <w:tcPr>
            <w:tcW w:w="18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1,594,877</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1,561,497</w:t>
            </w:r>
          </w:p>
        </w:tc>
      </w:tr>
      <w:tr>
        <w:trPr>
          <w:trHeight w:val="222"/>
        </w:trPr>
        <w:tc>
          <w:tcPr>
            <w:tcW w:w="8140" w:type="dxa"/>
            <w:vAlign w:val="bottom"/>
            <w:shd w:val="clear" w:color="auto" w:fill="CCEEFF"/>
          </w:tcPr>
          <w:p>
            <w:pPr>
              <w:ind w:left="20"/>
              <w:spacing w:after="0"/>
              <w:rPr>
                <w:sz w:val="20"/>
                <w:szCs w:val="20"/>
                <w:color w:val="auto"/>
              </w:rPr>
            </w:pPr>
            <w:r>
              <w:rPr>
                <w:rFonts w:ascii="Arial" w:cs="Arial" w:eastAsia="Arial" w:hAnsi="Arial"/>
                <w:sz w:val="17"/>
                <w:szCs w:val="17"/>
                <w:color w:val="auto"/>
              </w:rPr>
              <w:t>Accumulated depreciation</w:t>
            </w:r>
          </w:p>
        </w:tc>
        <w:tc>
          <w:tcPr>
            <w:tcW w:w="180" w:type="dxa"/>
            <w:vAlign w:val="bottom"/>
            <w:tcBorders>
              <w:bottom w:val="single" w:sz="8" w:color="auto"/>
            </w:tcBorders>
            <w:shd w:val="clear" w:color="auto" w:fill="CCEEFF"/>
          </w:tcPr>
          <w:p>
            <w:pPr>
              <w:spacing w:after="0"/>
              <w:rPr>
                <w:sz w:val="19"/>
                <w:szCs w:val="19"/>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(912,290)</w:t>
            </w: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(845,588)</w:t>
            </w:r>
          </w:p>
        </w:tc>
      </w:tr>
      <w:tr>
        <w:trPr>
          <w:trHeight w:val="215"/>
        </w:trPr>
        <w:tc>
          <w:tcPr>
            <w:tcW w:w="8140" w:type="dxa"/>
            <w:vAlign w:val="bottom"/>
          </w:tcPr>
          <w:p>
            <w:pPr>
              <w:ind w:left="20"/>
              <w:spacing w:after="0"/>
              <w:rPr>
                <w:sz w:val="20"/>
                <w:szCs w:val="20"/>
                <w:color w:val="auto"/>
              </w:rPr>
            </w:pPr>
            <w:r>
              <w:rPr>
                <w:rFonts w:ascii="Arial" w:cs="Arial" w:eastAsia="Arial" w:hAnsi="Arial"/>
                <w:sz w:val="17"/>
                <w:szCs w:val="17"/>
                <w:color w:val="auto"/>
              </w:rPr>
              <w:t>Total property and equipment, net</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682,587</w:t>
            </w:r>
          </w:p>
        </w:tc>
        <w:tc>
          <w:tcPr>
            <w:tcW w:w="12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715,909</w:t>
            </w:r>
          </w:p>
        </w:tc>
      </w:tr>
      <w:tr>
        <w:trPr>
          <w:trHeight w:val="20"/>
        </w:trPr>
        <w:tc>
          <w:tcPr>
            <w:tcW w:w="8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301"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The ground component of construction in progress includes costs (including capitalized interest) incurred for assets to upgrade the Company's ground infrastructure, including costs associated with the procurement and production of new gateway antennas. During the nine months ended September 30, 2021, the Company placed $10.3 million of costs into service associated with these antennas.</w:t>
      </w:r>
    </w:p>
    <w:p>
      <w:pPr>
        <w:spacing w:after="0" w:line="198"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Amounts included in the Company’s second-generation satellite, on-ground spare in the table above consist primarily of costs related to a spare second-generation satellite that has not been placed in orbit, but is likely to be capable of being included in a future launch. The Company has entered into certain contracts for the preparation and launch of the Company's on-ground spare satellite, which is expected to occur in 2022. Costs to support these efforts are included in the space component of construction in progress in the table above.</w:t>
      </w:r>
    </w:p>
    <w:p>
      <w:pPr>
        <w:spacing w:after="0" w:line="202" w:lineRule="exact"/>
        <w:rPr>
          <w:sz w:val="20"/>
          <w:szCs w:val="20"/>
          <w:color w:val="auto"/>
        </w:rPr>
      </w:pPr>
    </w:p>
    <w:p>
      <w:pPr>
        <w:ind w:left="240"/>
        <w:spacing w:after="0"/>
        <w:rPr>
          <w:sz w:val="20"/>
          <w:szCs w:val="20"/>
          <w:color w:val="auto"/>
        </w:rPr>
      </w:pPr>
      <w:r>
        <w:rPr>
          <w:rFonts w:ascii="Arial" w:cs="Arial" w:eastAsia="Arial" w:hAnsi="Arial"/>
          <w:sz w:val="17"/>
          <w:szCs w:val="17"/>
          <w:color w:val="auto"/>
        </w:rPr>
        <w:t>The construction in progress activity described above is related the Terms Agreement described in the 2020 Annual Report and Note 2: Revenue.</w:t>
      </w: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15" w:name="page16"/>
    <w:bookmarkEnd w:id="15"/>
    <w:p>
      <w:pPr>
        <w:ind w:left="240" w:right="5760" w:hanging="235"/>
        <w:spacing w:after="0" w:line="359" w:lineRule="auto"/>
        <w:tabs>
          <w:tab w:leader="none" w:pos="179" w:val="left"/>
        </w:tabs>
        <w:numPr>
          <w:ilvl w:val="0"/>
          <w:numId w:val="4"/>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LONG-TERM DEBT AND OTHER FINANCING ARRANGEMENTS </w:t>
      </w:r>
      <w:r>
        <w:rPr>
          <w:rFonts w:ascii="Arial" w:cs="Arial" w:eastAsia="Arial" w:hAnsi="Arial"/>
          <w:sz w:val="17"/>
          <w:szCs w:val="17"/>
          <w:color w:val="auto"/>
        </w:rPr>
        <w:t>Long-term debt consists of the following (in thousands):</w:t>
      </w:r>
    </w:p>
    <w:p>
      <w:pPr>
        <w:spacing w:after="0" w:line="25" w:lineRule="exact"/>
        <w:rPr>
          <w:sz w:val="20"/>
          <w:szCs w:val="20"/>
          <w:color w:val="auto"/>
        </w:rPr>
      </w:pPr>
    </w:p>
    <w:tbl>
      <w:tblPr>
        <w:tblLayout w:type="fixed"/>
        <w:tblInd w:w="40" w:type="dxa"/>
        <w:tblCellMar>
          <w:top w:w="0" w:type="dxa"/>
          <w:left w:w="0" w:type="dxa"/>
          <w:bottom w:w="0" w:type="dxa"/>
          <w:right w:w="0" w:type="dxa"/>
        </w:tblCellMar>
      </w:tblPr>
      <w:tr>
        <w:trPr>
          <w:trHeight w:val="203"/>
        </w:trPr>
        <w:tc>
          <w:tcPr>
            <w:tcW w:w="344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spacing w:after="0"/>
              <w:rPr>
                <w:sz w:val="17"/>
                <w:szCs w:val="17"/>
                <w:color w:val="auto"/>
              </w:rPr>
            </w:pPr>
          </w:p>
        </w:tc>
        <w:tc>
          <w:tcPr>
            <w:tcW w:w="1420" w:type="dxa"/>
            <w:vAlign w:val="bottom"/>
            <w:tcBorders>
              <w:bottom w:val="single" w:sz="8" w:color="auto"/>
            </w:tcBorders>
            <w:gridSpan w:val="4"/>
          </w:tcPr>
          <w:p>
            <w:pPr>
              <w:jc w:val="center"/>
              <w:spacing w:after="0"/>
              <w:rPr>
                <w:sz w:val="20"/>
                <w:szCs w:val="20"/>
                <w:color w:val="auto"/>
              </w:rPr>
            </w:pPr>
            <w:r>
              <w:rPr>
                <w:rFonts w:ascii="Arial" w:cs="Arial" w:eastAsia="Arial" w:hAnsi="Arial"/>
                <w:sz w:val="16"/>
                <w:szCs w:val="16"/>
                <w:color w:val="auto"/>
                <w:w w:val="86"/>
              </w:rPr>
              <w:t>September 30, 2021</w:t>
            </w:r>
          </w:p>
        </w:tc>
        <w:tc>
          <w:tcPr>
            <w:tcW w:w="20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gridSpan w:val="3"/>
          </w:tcPr>
          <w:p>
            <w:pPr>
              <w:ind w:left="40"/>
              <w:spacing w:after="0"/>
              <w:rPr>
                <w:sz w:val="20"/>
                <w:szCs w:val="20"/>
                <w:color w:val="auto"/>
              </w:rPr>
            </w:pPr>
            <w:r>
              <w:rPr>
                <w:rFonts w:ascii="Arial" w:cs="Arial" w:eastAsia="Arial" w:hAnsi="Arial"/>
                <w:sz w:val="16"/>
                <w:szCs w:val="16"/>
                <w:color w:val="auto"/>
                <w:w w:val="89"/>
              </w:rPr>
              <w:t>December 31, 2020</w:t>
            </w:r>
          </w:p>
        </w:tc>
        <w:tc>
          <w:tcPr>
            <w:tcW w:w="22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56"/>
        </w:trPr>
        <w:tc>
          <w:tcPr>
            <w:tcW w:w="3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80" w:type="dxa"/>
            <w:vAlign w:val="bottom"/>
            <w:gridSpan w:val="2"/>
          </w:tcPr>
          <w:p>
            <w:pPr>
              <w:jc w:val="center"/>
              <w:ind w:right="240"/>
              <w:spacing w:after="0" w:line="156" w:lineRule="exact"/>
              <w:rPr>
                <w:sz w:val="20"/>
                <w:szCs w:val="20"/>
                <w:color w:val="auto"/>
              </w:rPr>
            </w:pPr>
            <w:r>
              <w:rPr>
                <w:rFonts w:ascii="Arial" w:cs="Arial" w:eastAsia="Arial" w:hAnsi="Arial"/>
                <w:sz w:val="16"/>
                <w:szCs w:val="16"/>
                <w:color w:val="auto"/>
                <w:w w:val="90"/>
              </w:rPr>
              <w:t>Unamortized</w:t>
            </w:r>
          </w:p>
        </w:tc>
        <w:tc>
          <w:tcPr>
            <w:tcW w:w="2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80" w:type="dxa"/>
            <w:vAlign w:val="bottom"/>
            <w:gridSpan w:val="2"/>
          </w:tcPr>
          <w:p>
            <w:pPr>
              <w:jc w:val="center"/>
              <w:ind w:right="240"/>
              <w:spacing w:after="0" w:line="156" w:lineRule="exact"/>
              <w:rPr>
                <w:sz w:val="20"/>
                <w:szCs w:val="20"/>
                <w:color w:val="auto"/>
              </w:rPr>
            </w:pPr>
            <w:r>
              <w:rPr>
                <w:rFonts w:ascii="Arial" w:cs="Arial" w:eastAsia="Arial" w:hAnsi="Arial"/>
                <w:sz w:val="16"/>
                <w:szCs w:val="16"/>
                <w:color w:val="auto"/>
                <w:w w:val="90"/>
              </w:rPr>
              <w:t>Unamortized</w:t>
            </w:r>
          </w:p>
        </w:tc>
        <w:tc>
          <w:tcPr>
            <w:tcW w:w="2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3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80" w:type="dxa"/>
            <w:vAlign w:val="bottom"/>
            <w:vMerge w:val="restart"/>
          </w:tcPr>
          <w:p>
            <w:pPr>
              <w:jc w:val="right"/>
              <w:ind w:right="222"/>
              <w:spacing w:after="0"/>
              <w:rPr>
                <w:sz w:val="20"/>
                <w:szCs w:val="20"/>
                <w:color w:val="auto"/>
              </w:rPr>
            </w:pPr>
            <w:r>
              <w:rPr>
                <w:rFonts w:ascii="Arial" w:cs="Arial" w:eastAsia="Arial" w:hAnsi="Arial"/>
                <w:sz w:val="16"/>
                <w:szCs w:val="16"/>
                <w:color w:val="auto"/>
              </w:rPr>
              <w:t>Principal</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80" w:type="dxa"/>
            <w:vAlign w:val="bottom"/>
            <w:gridSpan w:val="2"/>
          </w:tcPr>
          <w:p>
            <w:pPr>
              <w:jc w:val="center"/>
              <w:ind w:right="240"/>
              <w:spacing w:after="0" w:line="157" w:lineRule="exact"/>
              <w:rPr>
                <w:sz w:val="20"/>
                <w:szCs w:val="20"/>
                <w:color w:val="auto"/>
              </w:rPr>
            </w:pPr>
            <w:r>
              <w:rPr>
                <w:rFonts w:ascii="Arial" w:cs="Arial" w:eastAsia="Arial" w:hAnsi="Arial"/>
                <w:sz w:val="16"/>
                <w:szCs w:val="16"/>
                <w:color w:val="auto"/>
                <w:w w:val="87"/>
              </w:rPr>
              <w:t>Discount and</w:t>
            </w:r>
          </w:p>
        </w:tc>
        <w:tc>
          <w:tcPr>
            <w:tcW w:w="200" w:type="dxa"/>
            <w:vAlign w:val="bottom"/>
          </w:tcPr>
          <w:p>
            <w:pPr>
              <w:spacing w:after="0"/>
              <w:rPr>
                <w:sz w:val="13"/>
                <w:szCs w:val="13"/>
                <w:color w:val="auto"/>
              </w:rPr>
            </w:pPr>
          </w:p>
        </w:tc>
        <w:tc>
          <w:tcPr>
            <w:tcW w:w="1120" w:type="dxa"/>
            <w:vAlign w:val="bottom"/>
            <w:gridSpan w:val="2"/>
            <w:vMerge w:val="restart"/>
          </w:tcPr>
          <w:p>
            <w:pPr>
              <w:ind w:left="120"/>
              <w:spacing w:after="0"/>
              <w:rPr>
                <w:sz w:val="20"/>
                <w:szCs w:val="20"/>
                <w:color w:val="auto"/>
              </w:rPr>
            </w:pPr>
            <w:r>
              <w:rPr>
                <w:rFonts w:ascii="Arial" w:cs="Arial" w:eastAsia="Arial" w:hAnsi="Arial"/>
                <w:sz w:val="16"/>
                <w:szCs w:val="16"/>
                <w:color w:val="auto"/>
              </w:rPr>
              <w:t>Carrying</w:t>
            </w:r>
          </w:p>
        </w:tc>
        <w:tc>
          <w:tcPr>
            <w:tcW w:w="200" w:type="dxa"/>
            <w:vAlign w:val="bottom"/>
          </w:tcPr>
          <w:p>
            <w:pPr>
              <w:spacing w:after="0"/>
              <w:rPr>
                <w:sz w:val="13"/>
                <w:szCs w:val="13"/>
                <w:color w:val="auto"/>
              </w:rPr>
            </w:pPr>
          </w:p>
        </w:tc>
        <w:tc>
          <w:tcPr>
            <w:tcW w:w="1060" w:type="dxa"/>
            <w:vAlign w:val="bottom"/>
            <w:gridSpan w:val="2"/>
            <w:vMerge w:val="restart"/>
          </w:tcPr>
          <w:p>
            <w:pPr>
              <w:ind w:left="100"/>
              <w:spacing w:after="0"/>
              <w:rPr>
                <w:sz w:val="20"/>
                <w:szCs w:val="20"/>
                <w:color w:val="auto"/>
              </w:rPr>
            </w:pPr>
            <w:r>
              <w:rPr>
                <w:rFonts w:ascii="Arial" w:cs="Arial" w:eastAsia="Arial" w:hAnsi="Arial"/>
                <w:sz w:val="16"/>
                <w:szCs w:val="16"/>
                <w:color w:val="auto"/>
              </w:rPr>
              <w:t>Principal</w:t>
            </w:r>
          </w:p>
        </w:tc>
        <w:tc>
          <w:tcPr>
            <w:tcW w:w="140" w:type="dxa"/>
            <w:vAlign w:val="bottom"/>
          </w:tcPr>
          <w:p>
            <w:pPr>
              <w:spacing w:after="0"/>
              <w:rPr>
                <w:sz w:val="13"/>
                <w:szCs w:val="13"/>
                <w:color w:val="auto"/>
              </w:rPr>
            </w:pPr>
          </w:p>
        </w:tc>
        <w:tc>
          <w:tcPr>
            <w:tcW w:w="1180" w:type="dxa"/>
            <w:vAlign w:val="bottom"/>
            <w:gridSpan w:val="2"/>
          </w:tcPr>
          <w:p>
            <w:pPr>
              <w:jc w:val="center"/>
              <w:ind w:right="260"/>
              <w:spacing w:after="0" w:line="157" w:lineRule="exact"/>
              <w:rPr>
                <w:sz w:val="20"/>
                <w:szCs w:val="20"/>
                <w:color w:val="auto"/>
              </w:rPr>
            </w:pPr>
            <w:r>
              <w:rPr>
                <w:rFonts w:ascii="Arial" w:cs="Arial" w:eastAsia="Arial" w:hAnsi="Arial"/>
                <w:sz w:val="16"/>
                <w:szCs w:val="16"/>
                <w:color w:val="auto"/>
                <w:w w:val="89"/>
              </w:rPr>
              <w:t>Discount and</w:t>
            </w:r>
          </w:p>
        </w:tc>
        <w:tc>
          <w:tcPr>
            <w:tcW w:w="220" w:type="dxa"/>
            <w:vAlign w:val="bottom"/>
          </w:tcPr>
          <w:p>
            <w:pPr>
              <w:spacing w:after="0"/>
              <w:rPr>
                <w:sz w:val="13"/>
                <w:szCs w:val="13"/>
                <w:color w:val="auto"/>
              </w:rPr>
            </w:pPr>
          </w:p>
        </w:tc>
        <w:tc>
          <w:tcPr>
            <w:tcW w:w="1040" w:type="dxa"/>
            <w:vAlign w:val="bottom"/>
            <w:vMerge w:val="restart"/>
          </w:tcPr>
          <w:p>
            <w:pPr>
              <w:jc w:val="right"/>
              <w:ind w:right="282"/>
              <w:spacing w:after="0"/>
              <w:rPr>
                <w:sz w:val="20"/>
                <w:szCs w:val="20"/>
                <w:color w:val="auto"/>
              </w:rPr>
            </w:pPr>
            <w:r>
              <w:rPr>
                <w:rFonts w:ascii="Arial" w:cs="Arial" w:eastAsia="Arial" w:hAnsi="Arial"/>
                <w:sz w:val="16"/>
                <w:szCs w:val="16"/>
                <w:color w:val="auto"/>
              </w:rPr>
              <w:t>Carrying</w:t>
            </w:r>
          </w:p>
        </w:tc>
        <w:tc>
          <w:tcPr>
            <w:tcW w:w="0" w:type="dxa"/>
            <w:vAlign w:val="bottom"/>
          </w:tcPr>
          <w:p>
            <w:pPr>
              <w:spacing w:after="0"/>
              <w:rPr>
                <w:sz w:val="1"/>
                <w:szCs w:val="1"/>
                <w:color w:val="auto"/>
              </w:rPr>
            </w:pPr>
          </w:p>
        </w:tc>
      </w:tr>
      <w:tr>
        <w:trPr>
          <w:trHeight w:val="157"/>
        </w:trPr>
        <w:tc>
          <w:tcPr>
            <w:tcW w:w="3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8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80" w:type="dxa"/>
            <w:vAlign w:val="bottom"/>
            <w:gridSpan w:val="2"/>
          </w:tcPr>
          <w:p>
            <w:pPr>
              <w:jc w:val="center"/>
              <w:ind w:right="240"/>
              <w:spacing w:after="0" w:line="157" w:lineRule="exact"/>
              <w:rPr>
                <w:sz w:val="20"/>
                <w:szCs w:val="20"/>
                <w:color w:val="auto"/>
              </w:rPr>
            </w:pPr>
            <w:r>
              <w:rPr>
                <w:rFonts w:ascii="Arial" w:cs="Arial" w:eastAsia="Arial" w:hAnsi="Arial"/>
                <w:sz w:val="16"/>
                <w:szCs w:val="16"/>
                <w:color w:val="auto"/>
                <w:w w:val="86"/>
              </w:rPr>
              <w:t>Deferred</w:t>
            </w:r>
          </w:p>
        </w:tc>
        <w:tc>
          <w:tcPr>
            <w:tcW w:w="200" w:type="dxa"/>
            <w:vAlign w:val="bottom"/>
          </w:tcPr>
          <w:p>
            <w:pPr>
              <w:spacing w:after="0"/>
              <w:rPr>
                <w:sz w:val="13"/>
                <w:szCs w:val="13"/>
                <w:color w:val="auto"/>
              </w:rPr>
            </w:pPr>
          </w:p>
        </w:tc>
        <w:tc>
          <w:tcPr>
            <w:tcW w:w="1120" w:type="dxa"/>
            <w:vAlign w:val="bottom"/>
            <w:gridSpan w:val="2"/>
            <w:vMerge w:val="continue"/>
          </w:tcPr>
          <w:p>
            <w:pPr>
              <w:spacing w:after="0"/>
              <w:rPr>
                <w:sz w:val="13"/>
                <w:szCs w:val="13"/>
                <w:color w:val="auto"/>
              </w:rPr>
            </w:pPr>
          </w:p>
        </w:tc>
        <w:tc>
          <w:tcPr>
            <w:tcW w:w="200" w:type="dxa"/>
            <w:vAlign w:val="bottom"/>
          </w:tcPr>
          <w:p>
            <w:pPr>
              <w:spacing w:after="0"/>
              <w:rPr>
                <w:sz w:val="13"/>
                <w:szCs w:val="13"/>
                <w:color w:val="auto"/>
              </w:rPr>
            </w:pPr>
          </w:p>
        </w:tc>
        <w:tc>
          <w:tcPr>
            <w:tcW w:w="1060" w:type="dxa"/>
            <w:vAlign w:val="bottom"/>
            <w:gridSpan w:val="2"/>
            <w:vMerge w:val="continue"/>
          </w:tcPr>
          <w:p>
            <w:pPr>
              <w:spacing w:after="0"/>
              <w:rPr>
                <w:sz w:val="13"/>
                <w:szCs w:val="13"/>
                <w:color w:val="auto"/>
              </w:rPr>
            </w:pPr>
          </w:p>
        </w:tc>
        <w:tc>
          <w:tcPr>
            <w:tcW w:w="140" w:type="dxa"/>
            <w:vAlign w:val="bottom"/>
          </w:tcPr>
          <w:p>
            <w:pPr>
              <w:spacing w:after="0"/>
              <w:rPr>
                <w:sz w:val="13"/>
                <w:szCs w:val="13"/>
                <w:color w:val="auto"/>
              </w:rPr>
            </w:pPr>
          </w:p>
        </w:tc>
        <w:tc>
          <w:tcPr>
            <w:tcW w:w="1180" w:type="dxa"/>
            <w:vAlign w:val="bottom"/>
            <w:gridSpan w:val="2"/>
          </w:tcPr>
          <w:p>
            <w:pPr>
              <w:jc w:val="center"/>
              <w:ind w:right="260"/>
              <w:spacing w:after="0" w:line="157" w:lineRule="exact"/>
              <w:rPr>
                <w:sz w:val="20"/>
                <w:szCs w:val="20"/>
                <w:color w:val="auto"/>
              </w:rPr>
            </w:pPr>
            <w:r>
              <w:rPr>
                <w:rFonts w:ascii="Arial" w:cs="Arial" w:eastAsia="Arial" w:hAnsi="Arial"/>
                <w:sz w:val="16"/>
                <w:szCs w:val="16"/>
                <w:color w:val="auto"/>
                <w:w w:val="89"/>
              </w:rPr>
              <w:t>Deferred</w:t>
            </w:r>
          </w:p>
        </w:tc>
        <w:tc>
          <w:tcPr>
            <w:tcW w:w="220" w:type="dxa"/>
            <w:vAlign w:val="bottom"/>
          </w:tcPr>
          <w:p>
            <w:pPr>
              <w:spacing w:after="0"/>
              <w:rPr>
                <w:sz w:val="13"/>
                <w:szCs w:val="13"/>
                <w:color w:val="auto"/>
              </w:rPr>
            </w:pPr>
          </w:p>
        </w:tc>
        <w:tc>
          <w:tcPr>
            <w:tcW w:w="10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344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262"/>
              <w:spacing w:after="0"/>
              <w:rPr>
                <w:sz w:val="20"/>
                <w:szCs w:val="20"/>
                <w:color w:val="auto"/>
              </w:rPr>
            </w:pPr>
            <w:r>
              <w:rPr>
                <w:rFonts w:ascii="Arial" w:cs="Arial" w:eastAsia="Arial" w:hAnsi="Arial"/>
                <w:sz w:val="16"/>
                <w:szCs w:val="16"/>
                <w:color w:val="auto"/>
              </w:rPr>
              <w:t>Amount</w:t>
            </w:r>
          </w:p>
        </w:tc>
        <w:tc>
          <w:tcPr>
            <w:tcW w:w="120" w:type="dxa"/>
            <w:vAlign w:val="bottom"/>
            <w:tcBorders>
              <w:bottom w:val="single" w:sz="8" w:color="CCEEFF"/>
            </w:tcBorders>
          </w:tcPr>
          <w:p>
            <w:pPr>
              <w:spacing w:after="0"/>
              <w:rPr>
                <w:sz w:val="17"/>
                <w:szCs w:val="17"/>
                <w:color w:val="auto"/>
              </w:rPr>
            </w:pPr>
          </w:p>
        </w:tc>
        <w:tc>
          <w:tcPr>
            <w:tcW w:w="1200" w:type="dxa"/>
            <w:vAlign w:val="bottom"/>
            <w:tcBorders>
              <w:bottom w:val="single" w:sz="8" w:color="auto"/>
            </w:tcBorders>
            <w:gridSpan w:val="2"/>
          </w:tcPr>
          <w:p>
            <w:pPr>
              <w:jc w:val="center"/>
              <w:spacing w:after="0"/>
              <w:rPr>
                <w:sz w:val="20"/>
                <w:szCs w:val="20"/>
                <w:color w:val="auto"/>
              </w:rPr>
            </w:pPr>
            <w:r>
              <w:rPr>
                <w:rFonts w:ascii="Arial" w:cs="Arial" w:eastAsia="Arial" w:hAnsi="Arial"/>
                <w:sz w:val="16"/>
                <w:szCs w:val="16"/>
                <w:color w:val="auto"/>
                <w:w w:val="88"/>
              </w:rPr>
              <w:t>Financing Costs</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362"/>
              <w:spacing w:after="0"/>
              <w:rPr>
                <w:sz w:val="20"/>
                <w:szCs w:val="20"/>
                <w:color w:val="auto"/>
              </w:rPr>
            </w:pPr>
            <w:r>
              <w:rPr>
                <w:rFonts w:ascii="Arial" w:cs="Arial" w:eastAsia="Arial" w:hAnsi="Arial"/>
                <w:sz w:val="16"/>
                <w:szCs w:val="16"/>
                <w:color w:val="auto"/>
              </w:rPr>
              <w:t>Value</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242"/>
              <w:spacing w:after="0"/>
              <w:rPr>
                <w:sz w:val="20"/>
                <w:szCs w:val="20"/>
                <w:color w:val="auto"/>
              </w:rPr>
            </w:pPr>
            <w:r>
              <w:rPr>
                <w:rFonts w:ascii="Arial" w:cs="Arial" w:eastAsia="Arial" w:hAnsi="Arial"/>
                <w:sz w:val="16"/>
                <w:szCs w:val="16"/>
                <w:color w:val="auto"/>
              </w:rPr>
              <w:t>Amount</w:t>
            </w:r>
          </w:p>
        </w:tc>
        <w:tc>
          <w:tcPr>
            <w:tcW w:w="100" w:type="dxa"/>
            <w:vAlign w:val="bottom"/>
            <w:tcBorders>
              <w:bottom w:val="single" w:sz="8" w:color="CCEEFF"/>
            </w:tcBorders>
          </w:tcPr>
          <w:p>
            <w:pPr>
              <w:spacing w:after="0"/>
              <w:rPr>
                <w:sz w:val="17"/>
                <w:szCs w:val="17"/>
                <w:color w:val="auto"/>
              </w:rPr>
            </w:pPr>
          </w:p>
        </w:tc>
        <w:tc>
          <w:tcPr>
            <w:tcW w:w="1220" w:type="dxa"/>
            <w:vAlign w:val="bottom"/>
            <w:tcBorders>
              <w:bottom w:val="single" w:sz="8" w:color="auto"/>
            </w:tcBorders>
            <w:gridSpan w:val="2"/>
          </w:tcPr>
          <w:p>
            <w:pPr>
              <w:jc w:val="center"/>
              <w:spacing w:after="0"/>
              <w:rPr>
                <w:sz w:val="20"/>
                <w:szCs w:val="20"/>
                <w:color w:val="auto"/>
              </w:rPr>
            </w:pPr>
            <w:r>
              <w:rPr>
                <w:rFonts w:ascii="Arial" w:cs="Arial" w:eastAsia="Arial" w:hAnsi="Arial"/>
                <w:sz w:val="16"/>
                <w:szCs w:val="16"/>
                <w:color w:val="auto"/>
                <w:w w:val="88"/>
              </w:rPr>
              <w:t>Financing Costs</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382"/>
              <w:spacing w:after="0"/>
              <w:rPr>
                <w:sz w:val="20"/>
                <w:szCs w:val="20"/>
                <w:color w:val="auto"/>
              </w:rPr>
            </w:pPr>
            <w:r>
              <w:rPr>
                <w:rFonts w:ascii="Arial" w:cs="Arial" w:eastAsia="Arial" w:hAnsi="Arial"/>
                <w:sz w:val="16"/>
                <w:szCs w:val="16"/>
                <w:color w:val="auto"/>
              </w:rPr>
              <w:t>Value</w:t>
            </w:r>
          </w:p>
        </w:tc>
        <w:tc>
          <w:tcPr>
            <w:tcW w:w="0" w:type="dxa"/>
            <w:vAlign w:val="bottom"/>
          </w:tcPr>
          <w:p>
            <w:pPr>
              <w:spacing w:after="0"/>
              <w:rPr>
                <w:sz w:val="1"/>
                <w:szCs w:val="1"/>
                <w:color w:val="auto"/>
              </w:rPr>
            </w:pPr>
          </w:p>
        </w:tc>
      </w:tr>
      <w:tr>
        <w:trPr>
          <w:trHeight w:val="205"/>
        </w:trPr>
        <w:tc>
          <w:tcPr>
            <w:tcW w:w="3440" w:type="dxa"/>
            <w:vAlign w:val="bottom"/>
            <w:shd w:val="clear" w:color="auto" w:fill="CCEEFF"/>
          </w:tcPr>
          <w:p>
            <w:pPr>
              <w:spacing w:after="0"/>
              <w:rPr>
                <w:sz w:val="20"/>
                <w:szCs w:val="20"/>
                <w:color w:val="auto"/>
              </w:rPr>
            </w:pPr>
            <w:r>
              <w:rPr>
                <w:rFonts w:ascii="Arial" w:cs="Arial" w:eastAsia="Arial" w:hAnsi="Arial"/>
                <w:sz w:val="16"/>
                <w:szCs w:val="16"/>
                <w:color w:val="auto"/>
              </w:rPr>
              <w:t>First Lien Facility Agreement</w:t>
            </w: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60,324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1,251</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10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59,073</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186,988</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6,373</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180,615</w:t>
            </w:r>
          </w:p>
        </w:tc>
        <w:tc>
          <w:tcPr>
            <w:tcW w:w="0" w:type="dxa"/>
            <w:vAlign w:val="bottom"/>
          </w:tcPr>
          <w:p>
            <w:pPr>
              <w:spacing w:after="0"/>
              <w:rPr>
                <w:sz w:val="1"/>
                <w:szCs w:val="1"/>
                <w:color w:val="auto"/>
              </w:rPr>
            </w:pPr>
          </w:p>
        </w:tc>
      </w:tr>
      <w:tr>
        <w:trPr>
          <w:trHeight w:val="206"/>
        </w:trPr>
        <w:tc>
          <w:tcPr>
            <w:tcW w:w="3440" w:type="dxa"/>
            <w:vAlign w:val="bottom"/>
          </w:tcPr>
          <w:p>
            <w:pPr>
              <w:spacing w:after="0"/>
              <w:rPr>
                <w:sz w:val="20"/>
                <w:szCs w:val="20"/>
                <w:color w:val="auto"/>
              </w:rPr>
            </w:pPr>
            <w:r>
              <w:rPr>
                <w:rFonts w:ascii="Arial" w:cs="Arial" w:eastAsia="Arial" w:hAnsi="Arial"/>
                <w:sz w:val="16"/>
                <w:szCs w:val="16"/>
                <w:color w:val="auto"/>
              </w:rPr>
              <w:t>Second Lien Facility Agreement</w:t>
            </w:r>
          </w:p>
        </w:tc>
        <w:tc>
          <w:tcPr>
            <w:tcW w:w="20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255,015</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80" w:type="dxa"/>
            <w:vAlign w:val="bottom"/>
          </w:tcPr>
          <w:p>
            <w:pPr>
              <w:jc w:val="right"/>
              <w:ind w:right="2"/>
              <w:spacing w:after="0"/>
              <w:rPr>
                <w:sz w:val="20"/>
                <w:szCs w:val="20"/>
                <w:color w:val="auto"/>
              </w:rPr>
            </w:pPr>
            <w:r>
              <w:rPr>
                <w:rFonts w:ascii="Arial" w:cs="Arial" w:eastAsia="Arial" w:hAnsi="Arial"/>
                <w:sz w:val="16"/>
                <w:szCs w:val="16"/>
                <w:color w:val="auto"/>
              </w:rPr>
              <w:t>28,599</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20" w:type="dxa"/>
            <w:vAlign w:val="bottom"/>
          </w:tcPr>
          <w:p>
            <w:pPr>
              <w:jc w:val="right"/>
              <w:ind w:right="2"/>
              <w:spacing w:after="0"/>
              <w:rPr>
                <w:sz w:val="20"/>
                <w:szCs w:val="20"/>
                <w:color w:val="auto"/>
              </w:rPr>
            </w:pPr>
            <w:r>
              <w:rPr>
                <w:rFonts w:ascii="Arial" w:cs="Arial" w:eastAsia="Arial" w:hAnsi="Arial"/>
                <w:sz w:val="16"/>
                <w:szCs w:val="16"/>
                <w:color w:val="auto"/>
              </w:rPr>
              <w:t>226,416</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230,597</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80" w:type="dxa"/>
            <w:vAlign w:val="bottom"/>
          </w:tcPr>
          <w:p>
            <w:pPr>
              <w:jc w:val="right"/>
              <w:ind w:right="2"/>
              <w:spacing w:after="0"/>
              <w:rPr>
                <w:sz w:val="20"/>
                <w:szCs w:val="20"/>
                <w:color w:val="auto"/>
              </w:rPr>
            </w:pPr>
            <w:r>
              <w:rPr>
                <w:rFonts w:ascii="Arial" w:cs="Arial" w:eastAsia="Arial" w:hAnsi="Arial"/>
                <w:sz w:val="16"/>
                <w:szCs w:val="16"/>
                <w:color w:val="auto"/>
              </w:rPr>
              <w:t>32,125</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0" w:type="dxa"/>
            <w:vAlign w:val="bottom"/>
          </w:tcPr>
          <w:p>
            <w:pPr>
              <w:jc w:val="right"/>
              <w:ind w:right="2"/>
              <w:spacing w:after="0"/>
              <w:rPr>
                <w:sz w:val="20"/>
                <w:szCs w:val="20"/>
                <w:color w:val="auto"/>
              </w:rPr>
            </w:pPr>
            <w:r>
              <w:rPr>
                <w:rFonts w:ascii="Arial" w:cs="Arial" w:eastAsia="Arial" w:hAnsi="Arial"/>
                <w:sz w:val="16"/>
                <w:szCs w:val="16"/>
                <w:color w:val="auto"/>
              </w:rPr>
              <w:t>198,472</w:t>
            </w:r>
          </w:p>
        </w:tc>
        <w:tc>
          <w:tcPr>
            <w:tcW w:w="0" w:type="dxa"/>
            <w:vAlign w:val="bottom"/>
          </w:tcPr>
          <w:p>
            <w:pPr>
              <w:spacing w:after="0"/>
              <w:rPr>
                <w:sz w:val="1"/>
                <w:szCs w:val="1"/>
                <w:color w:val="auto"/>
              </w:rPr>
            </w:pPr>
          </w:p>
        </w:tc>
      </w:tr>
      <w:tr>
        <w:trPr>
          <w:trHeight w:val="212"/>
        </w:trPr>
        <w:tc>
          <w:tcPr>
            <w:tcW w:w="3440" w:type="dxa"/>
            <w:vAlign w:val="bottom"/>
            <w:shd w:val="clear" w:color="auto" w:fill="CCEEFF"/>
          </w:tcPr>
          <w:p>
            <w:pPr>
              <w:spacing w:after="0"/>
              <w:rPr>
                <w:sz w:val="20"/>
                <w:szCs w:val="20"/>
                <w:color w:val="auto"/>
              </w:rPr>
            </w:pPr>
            <w:r>
              <w:rPr>
                <w:rFonts w:ascii="Arial" w:cs="Arial" w:eastAsia="Arial" w:hAnsi="Arial"/>
                <w:sz w:val="16"/>
                <w:szCs w:val="16"/>
                <w:color w:val="auto"/>
              </w:rPr>
              <w:t>8.00% Convertible Senior Notes Issued in 2013</w:t>
            </w: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1,392</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1,392</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1,376</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1,376</w:t>
            </w:r>
          </w:p>
        </w:tc>
        <w:tc>
          <w:tcPr>
            <w:tcW w:w="0" w:type="dxa"/>
            <w:vAlign w:val="bottom"/>
          </w:tcPr>
          <w:p>
            <w:pPr>
              <w:spacing w:after="0"/>
              <w:rPr>
                <w:sz w:val="1"/>
                <w:szCs w:val="1"/>
                <w:color w:val="auto"/>
              </w:rPr>
            </w:pPr>
          </w:p>
        </w:tc>
      </w:tr>
      <w:tr>
        <w:trPr>
          <w:trHeight w:val="206"/>
        </w:trPr>
        <w:tc>
          <w:tcPr>
            <w:tcW w:w="3440" w:type="dxa"/>
            <w:vAlign w:val="bottom"/>
          </w:tcPr>
          <w:p>
            <w:pPr>
              <w:spacing w:after="0"/>
              <w:rPr>
                <w:sz w:val="20"/>
                <w:szCs w:val="20"/>
                <w:color w:val="auto"/>
              </w:rPr>
            </w:pPr>
            <w:r>
              <w:rPr>
                <w:rFonts w:ascii="Arial" w:cs="Arial" w:eastAsia="Arial" w:hAnsi="Arial"/>
                <w:sz w:val="16"/>
                <w:szCs w:val="16"/>
                <w:color w:val="auto"/>
              </w:rPr>
              <w:t>Paycheck Protection Program Loan</w:t>
            </w:r>
          </w:p>
        </w:tc>
        <w:tc>
          <w:tcPr>
            <w:tcW w:w="20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4,973</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80" w:type="dxa"/>
            <w:vAlign w:val="bottom"/>
          </w:tcPr>
          <w:p>
            <w:pPr>
              <w:jc w:val="right"/>
              <w:ind w:right="2"/>
              <w:spacing w:after="0"/>
              <w:rPr>
                <w:sz w:val="20"/>
                <w:szCs w:val="20"/>
                <w:color w:val="auto"/>
              </w:rPr>
            </w:pPr>
            <w:r>
              <w:rPr>
                <w:rFonts w:ascii="Arial" w:cs="Arial" w:eastAsia="Arial" w:hAnsi="Arial"/>
                <w:sz w:val="16"/>
                <w:szCs w:val="16"/>
                <w:color w:val="auto"/>
              </w:rPr>
              <w:t>26</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0" w:type="dxa"/>
            <w:vAlign w:val="bottom"/>
          </w:tcPr>
          <w:p>
            <w:pPr>
              <w:jc w:val="right"/>
              <w:ind w:right="2"/>
              <w:spacing w:after="0"/>
              <w:rPr>
                <w:sz w:val="20"/>
                <w:szCs w:val="20"/>
                <w:color w:val="auto"/>
              </w:rPr>
            </w:pPr>
            <w:r>
              <w:rPr>
                <w:rFonts w:ascii="Arial" w:cs="Arial" w:eastAsia="Arial" w:hAnsi="Arial"/>
                <w:sz w:val="16"/>
                <w:szCs w:val="16"/>
                <w:color w:val="auto"/>
              </w:rPr>
              <w:t>4,947</w:t>
            </w:r>
          </w:p>
        </w:tc>
        <w:tc>
          <w:tcPr>
            <w:tcW w:w="0" w:type="dxa"/>
            <w:vAlign w:val="bottom"/>
          </w:tcPr>
          <w:p>
            <w:pPr>
              <w:spacing w:after="0"/>
              <w:rPr>
                <w:sz w:val="1"/>
                <w:szCs w:val="1"/>
                <w:color w:val="auto"/>
              </w:rPr>
            </w:pPr>
          </w:p>
        </w:tc>
      </w:tr>
      <w:tr>
        <w:trPr>
          <w:trHeight w:val="205"/>
        </w:trPr>
        <w:tc>
          <w:tcPr>
            <w:tcW w:w="34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6"/>
                <w:szCs w:val="16"/>
                <w:color w:val="auto"/>
              </w:rPr>
              <w:t>Total Debt</w:t>
            </w:r>
          </w:p>
        </w:tc>
        <w:tc>
          <w:tcPr>
            <w:tcW w:w="20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316,731</w:t>
            </w:r>
          </w:p>
        </w:tc>
        <w:tc>
          <w:tcPr>
            <w:tcW w:w="1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29,850</w:t>
            </w: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1020" w:type="dxa"/>
            <w:vAlign w:val="bottom"/>
            <w:tcBorders>
              <w:top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286,881</w:t>
            </w: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423,934</w:t>
            </w:r>
          </w:p>
        </w:tc>
        <w:tc>
          <w:tcPr>
            <w:tcW w:w="1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38,524</w:t>
            </w:r>
          </w:p>
        </w:tc>
        <w:tc>
          <w:tcPr>
            <w:tcW w:w="1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1040" w:type="dxa"/>
            <w:vAlign w:val="bottom"/>
            <w:tcBorders>
              <w:top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385,410</w:t>
            </w:r>
          </w:p>
        </w:tc>
        <w:tc>
          <w:tcPr>
            <w:tcW w:w="0" w:type="dxa"/>
            <w:vAlign w:val="bottom"/>
          </w:tcPr>
          <w:p>
            <w:pPr>
              <w:spacing w:after="0"/>
              <w:rPr>
                <w:sz w:val="1"/>
                <w:szCs w:val="1"/>
                <w:color w:val="auto"/>
              </w:rPr>
            </w:pPr>
          </w:p>
        </w:tc>
      </w:tr>
      <w:tr>
        <w:trPr>
          <w:trHeight w:val="206"/>
        </w:trPr>
        <w:tc>
          <w:tcPr>
            <w:tcW w:w="344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Less: Current Portion</w:t>
            </w:r>
          </w:p>
        </w:tc>
        <w:tc>
          <w:tcPr>
            <w:tcW w:w="2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58,824</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58,824</w:t>
            </w:r>
          </w:p>
        </w:tc>
        <w:tc>
          <w:tcPr>
            <w:tcW w:w="0" w:type="dxa"/>
            <w:vAlign w:val="bottom"/>
          </w:tcPr>
          <w:p>
            <w:pPr>
              <w:spacing w:after="0"/>
              <w:rPr>
                <w:sz w:val="1"/>
                <w:szCs w:val="1"/>
                <w:color w:val="auto"/>
              </w:rPr>
            </w:pPr>
          </w:p>
        </w:tc>
      </w:tr>
      <w:tr>
        <w:trPr>
          <w:trHeight w:val="225"/>
        </w:trPr>
        <w:tc>
          <w:tcPr>
            <w:tcW w:w="3440" w:type="dxa"/>
            <w:vAlign w:val="bottom"/>
            <w:shd w:val="clear" w:color="auto" w:fill="CCEEFF"/>
          </w:tcPr>
          <w:p>
            <w:pPr>
              <w:spacing w:after="0"/>
              <w:rPr>
                <w:sz w:val="20"/>
                <w:szCs w:val="20"/>
                <w:color w:val="auto"/>
              </w:rPr>
            </w:pPr>
            <w:r>
              <w:rPr>
                <w:rFonts w:ascii="Arial" w:cs="Arial" w:eastAsia="Arial" w:hAnsi="Arial"/>
                <w:sz w:val="16"/>
                <w:szCs w:val="16"/>
                <w:color w:val="auto"/>
              </w:rPr>
              <w:t>Long-Term Debt</w:t>
            </w: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316,731</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29,850</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10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286,881</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365,110</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38,524</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326,586</w:t>
            </w:r>
          </w:p>
        </w:tc>
        <w:tc>
          <w:tcPr>
            <w:tcW w:w="0" w:type="dxa"/>
            <w:vAlign w:val="bottom"/>
          </w:tcPr>
          <w:p>
            <w:pPr>
              <w:spacing w:after="0"/>
              <w:rPr>
                <w:sz w:val="1"/>
                <w:szCs w:val="1"/>
                <w:color w:val="auto"/>
              </w:rPr>
            </w:pPr>
          </w:p>
        </w:tc>
      </w:tr>
      <w:tr>
        <w:trPr>
          <w:trHeight w:val="20"/>
        </w:trPr>
        <w:tc>
          <w:tcPr>
            <w:tcW w:w="34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1"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The principal amounts shown above include payment of in-kind interest, as applicable. The carrying value is net of deferred financing costs and any discounts to the loan amounts at issuance, including accretion.</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First Lien Facility Agreement</w:t>
      </w:r>
    </w:p>
    <w:p>
      <w:pPr>
        <w:spacing w:after="0" w:line="249" w:lineRule="exact"/>
        <w:rPr>
          <w:sz w:val="20"/>
          <w:szCs w:val="20"/>
          <w:color w:val="auto"/>
        </w:rPr>
      </w:pPr>
    </w:p>
    <w:p>
      <w:pPr>
        <w:jc w:val="both"/>
        <w:ind w:firstLine="235"/>
        <w:spacing w:after="0" w:line="321" w:lineRule="auto"/>
        <w:rPr>
          <w:sz w:val="20"/>
          <w:szCs w:val="20"/>
          <w:color w:val="auto"/>
        </w:rPr>
      </w:pPr>
      <w:r>
        <w:rPr>
          <w:rFonts w:ascii="Arial" w:cs="Arial" w:eastAsia="Arial" w:hAnsi="Arial"/>
          <w:sz w:val="16"/>
          <w:szCs w:val="16"/>
          <w:color w:val="auto"/>
        </w:rPr>
        <w:t>In 2009, the Company entered into the First Lien Facility Agreement (as amended) with a syndicate of bank lenders, including BNP Paribas, Société Générale, Natixis, Crédit Agricole Corporate and Investment Bank and Crédit Industriel et Commercial, as arrangers, and BNP Paribas, as the security agent.</w:t>
      </w:r>
    </w:p>
    <w:p>
      <w:pPr>
        <w:spacing w:after="0" w:line="161"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The First Lien Facility Agreement is scheduled to mature in December 2022. Indebtedness under the First Lien Facility Agreement bears interest at a floating rate of LIBOR plus a margin that increases by 0.5% each year to a maximum rate of LIBOR plus 5.75%. The current interest rate is LIBOR plus 5.25%. Interest on the Facility Agreement is payable semi-annually in arrears on June 30 and December 31 of each calendar year.</w:t>
      </w:r>
    </w:p>
    <w:p>
      <w:pPr>
        <w:spacing w:after="0" w:line="198" w:lineRule="exact"/>
        <w:rPr>
          <w:sz w:val="20"/>
          <w:szCs w:val="20"/>
          <w:color w:val="auto"/>
        </w:rPr>
      </w:pPr>
    </w:p>
    <w:p>
      <w:pPr>
        <w:jc w:val="both"/>
        <w:ind w:firstLine="235"/>
        <w:spacing w:after="0" w:line="261" w:lineRule="auto"/>
        <w:rPr>
          <w:sz w:val="20"/>
          <w:szCs w:val="20"/>
          <w:color w:val="auto"/>
        </w:rPr>
      </w:pPr>
      <w:r>
        <w:rPr>
          <w:rFonts w:ascii="Arial" w:cs="Arial" w:eastAsia="Arial" w:hAnsi="Arial"/>
          <w:sz w:val="17"/>
          <w:szCs w:val="17"/>
          <w:color w:val="auto"/>
        </w:rPr>
        <w:t>In calculating compliance with the financial covenants of the First Lien Facility Agreement, the Company may include certain cash funds contributed to the Company from the issuance of the Company's common stock and/or subordinated indebtedness. These funds are referred to as “Equity Cure Contributions” and may be used to achieve compliance with financial covenants through maturity. If the Company violates any financial covenants and is unable to obtain a sufficient Equity Cure Contribution or obtain a waiver, it would be in default under the First Lien Facility Agreement and payment of the indebtedness could be accelerated. In anticipation of projected capital expenditures, in August 2021, the Company received a waiver from its senior lenders, increasing permitted capital expenditure limits under the First Lien Facility Agreement. As of September 30, 2021, the Company was in compliance with the covenants of the First Lien Facility Agreement.</w:t>
      </w:r>
    </w:p>
    <w:p>
      <w:pPr>
        <w:spacing w:after="0" w:line="211" w:lineRule="exact"/>
        <w:rPr>
          <w:sz w:val="20"/>
          <w:szCs w:val="20"/>
          <w:color w:val="auto"/>
        </w:rPr>
      </w:pPr>
    </w:p>
    <w:p>
      <w:pPr>
        <w:jc w:val="both"/>
        <w:ind w:firstLine="235"/>
        <w:spacing w:after="0" w:line="256" w:lineRule="auto"/>
        <w:rPr>
          <w:sz w:val="20"/>
          <w:szCs w:val="20"/>
          <w:color w:val="auto"/>
        </w:rPr>
      </w:pPr>
      <w:r>
        <w:rPr>
          <w:rFonts w:ascii="Arial" w:cs="Arial" w:eastAsia="Arial" w:hAnsi="Arial"/>
          <w:sz w:val="17"/>
          <w:szCs w:val="17"/>
          <w:color w:val="auto"/>
        </w:rPr>
        <w:t>The First Lien Facility Agreement requires mandatory prepayments of principal with any Excess Cash Flow (as defined and calculated in the First Lien Facility Agreement) on a semi-annual basis. During 2021, the Company was required to pay $4.4 million to its first lien lenders resulting from the Excess Cash Flow calculation as of December 31, 2020. This payment reduced future principal payment obligations (see table below).</w:t>
      </w:r>
    </w:p>
    <w:p>
      <w:pPr>
        <w:spacing w:after="0" w:line="198" w:lineRule="exact"/>
        <w:rPr>
          <w:sz w:val="20"/>
          <w:szCs w:val="20"/>
          <w:color w:val="auto"/>
        </w:rPr>
      </w:pPr>
    </w:p>
    <w:p>
      <w:pPr>
        <w:jc w:val="both"/>
        <w:ind w:firstLine="235"/>
        <w:spacing w:after="0" w:line="248" w:lineRule="auto"/>
        <w:rPr>
          <w:sz w:val="20"/>
          <w:szCs w:val="20"/>
          <w:color w:val="auto"/>
        </w:rPr>
      </w:pPr>
      <w:r>
        <w:rPr>
          <w:rFonts w:ascii="Arial" w:cs="Arial" w:eastAsia="Arial" w:hAnsi="Arial"/>
          <w:sz w:val="17"/>
          <w:szCs w:val="17"/>
          <w:color w:val="auto"/>
        </w:rPr>
        <w:t>The amended and restated First Lien Facility Agreement includes a requirement that the Company raise no less than $45.0 million from the sale of equity prior to March 30, 2021. The Company fulfilled this requirement in March 2021 with proceeds from the exercise of all the warrants issued to the Second Lien Facility Agreement lenders in November 2019. The Company received proceeds totaling $47.3 million, of which $3.6 million was received in December 2019 and the remaining $43.7 million was received during the first quarter of 2021. In April 2021, these proceeds were used to pay the remaining principal payments due in each of June 2021 and December 2021 (see table below).</w:t>
      </w:r>
    </w:p>
    <w:p>
      <w:pPr>
        <w:spacing w:after="0" w:line="205" w:lineRule="exact"/>
        <w:rPr>
          <w:sz w:val="20"/>
          <w:szCs w:val="20"/>
          <w:color w:val="auto"/>
        </w:rPr>
      </w:pPr>
    </w:p>
    <w:p>
      <w:pPr>
        <w:jc w:val="both"/>
        <w:ind w:firstLine="235"/>
        <w:spacing w:after="0" w:line="251" w:lineRule="auto"/>
        <w:rPr>
          <w:sz w:val="20"/>
          <w:szCs w:val="20"/>
          <w:color w:val="auto"/>
        </w:rPr>
      </w:pPr>
      <w:r>
        <w:rPr>
          <w:rFonts w:ascii="Arial" w:cs="Arial" w:eastAsia="Arial" w:hAnsi="Arial"/>
          <w:sz w:val="17"/>
          <w:szCs w:val="17"/>
          <w:color w:val="auto"/>
        </w:rPr>
        <w:t>In June and September 2021, the Company received two advance payments of $37.5 million each from a customer (see further discussion in Note 2: Revenue). The Company used these proceeds to pay a portion of the remaining amount due under the First Lien Facility Agreement. These voluntary prepayments were applied to the payments due in each of December 2021, June 2022 and December 2022, respectively (see table below). Additionally, the Company wrote off $2.3 million and</w:t>
      </w: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71" w:right="339" w:bottom="1440" w:gutter="0" w:footer="0" w:header="0"/>
        </w:sectPr>
      </w:pPr>
    </w:p>
    <w:bookmarkStart w:id="16" w:name="page17"/>
    <w:bookmarkEnd w:id="16"/>
    <w:p>
      <w:pPr>
        <w:spacing w:after="0"/>
        <w:rPr>
          <w:sz w:val="20"/>
          <w:szCs w:val="20"/>
          <w:color w:val="auto"/>
        </w:rPr>
      </w:pPr>
      <w:r>
        <w:rPr>
          <w:rFonts w:ascii="Arial" w:cs="Arial" w:eastAsia="Arial" w:hAnsi="Arial"/>
          <w:sz w:val="16"/>
          <w:szCs w:val="16"/>
          <w:color w:val="auto"/>
        </w:rPr>
        <w:t>$0.8 million in deferred financing costs, which represents the portion of debt prepaid by the Company in the second and third quarters of 2021, respectively.</w:t>
      </w:r>
    </w:p>
    <w:p>
      <w:pPr>
        <w:spacing w:after="0" w:line="247" w:lineRule="exact"/>
        <w:rPr>
          <w:sz w:val="20"/>
          <w:szCs w:val="20"/>
          <w:color w:val="auto"/>
        </w:rPr>
      </w:pPr>
    </w:p>
    <w:p>
      <w:pPr>
        <w:jc w:val="both"/>
        <w:ind w:firstLine="235"/>
        <w:spacing w:after="0" w:line="284" w:lineRule="auto"/>
        <w:rPr>
          <w:sz w:val="20"/>
          <w:szCs w:val="20"/>
          <w:color w:val="auto"/>
        </w:rPr>
      </w:pPr>
      <w:r>
        <w:rPr>
          <w:rFonts w:ascii="Arial" w:cs="Arial" w:eastAsia="Arial" w:hAnsi="Arial"/>
          <w:sz w:val="16"/>
          <w:szCs w:val="16"/>
          <w:color w:val="auto"/>
        </w:rPr>
        <w:t>The First Lien Facility Agreement also requires the Company to maintain a debt service reserve account, which is pledged to secure all of the Company's obligations under the First Lien Facility Agreement. As of September 30, 2021, the balance in the debt service reserve account was $51.1 million and is classified as non-current restricted cash on the Company's condensed consolidated balance sheet consistent with the remaining principal outstanding of $60.3 million due in December 2022. The Company currently intends to fully pay off the remaining principal balance during the fourth quarter of 2021. In connection with the anticipated early pay off, the Company expects to receive a partial refund of premiums previously paid.</w:t>
      </w:r>
    </w:p>
    <w:p>
      <w:pPr>
        <w:spacing w:after="0" w:line="192" w:lineRule="exact"/>
        <w:rPr>
          <w:sz w:val="20"/>
          <w:szCs w:val="20"/>
          <w:color w:val="auto"/>
        </w:rPr>
      </w:pPr>
    </w:p>
    <w:p>
      <w:pPr>
        <w:ind w:firstLine="235"/>
        <w:spacing w:after="0" w:line="288" w:lineRule="auto"/>
        <w:rPr>
          <w:sz w:val="20"/>
          <w:szCs w:val="20"/>
          <w:color w:val="auto"/>
        </w:rPr>
      </w:pPr>
      <w:r>
        <w:rPr>
          <w:rFonts w:ascii="Arial" w:cs="Arial" w:eastAsia="Arial" w:hAnsi="Arial"/>
          <w:sz w:val="17"/>
          <w:szCs w:val="17"/>
          <w:color w:val="auto"/>
        </w:rPr>
        <w:t>The following table sets forth the scheduled principal payments for the First Lien Facility Agreement, reflecting the application of prepayments made during 2021 (amounts in thousands):</w:t>
      </w: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384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3020" w:type="dxa"/>
            <w:vAlign w:val="bottom"/>
            <w:tcBorders>
              <w:bottom w:val="single" w:sz="8" w:color="auto"/>
            </w:tcBorders>
            <w:gridSpan w:val="3"/>
          </w:tcPr>
          <w:p>
            <w:pPr>
              <w:jc w:val="right"/>
              <w:ind w:right="562"/>
              <w:spacing w:after="0"/>
              <w:rPr>
                <w:sz w:val="20"/>
                <w:szCs w:val="20"/>
                <w:color w:val="auto"/>
              </w:rPr>
            </w:pPr>
            <w:r>
              <w:rPr>
                <w:rFonts w:ascii="Arial" w:cs="Arial" w:eastAsia="Arial" w:hAnsi="Arial"/>
                <w:sz w:val="16"/>
                <w:szCs w:val="16"/>
                <w:color w:val="auto"/>
              </w:rPr>
              <w:t>Principal Payment Activity</w:t>
            </w:r>
          </w:p>
        </w:tc>
        <w:tc>
          <w:tcPr>
            <w:tcW w:w="18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tcPr>
          <w:p>
            <w:pPr>
              <w:spacing w:after="0"/>
              <w:rPr>
                <w:sz w:val="17"/>
                <w:szCs w:val="17"/>
                <w:color w:val="auto"/>
              </w:rPr>
            </w:pPr>
          </w:p>
        </w:tc>
      </w:tr>
      <w:tr>
        <w:trPr>
          <w:trHeight w:val="228"/>
        </w:trPr>
        <w:tc>
          <w:tcPr>
            <w:tcW w:w="384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Scheduled Payment Date</w:t>
            </w:r>
          </w:p>
        </w:tc>
        <w:tc>
          <w:tcPr>
            <w:tcW w:w="20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222"/>
              <w:spacing w:after="0"/>
              <w:rPr>
                <w:sz w:val="20"/>
                <w:szCs w:val="20"/>
                <w:color w:val="auto"/>
              </w:rPr>
            </w:pPr>
            <w:r>
              <w:rPr>
                <w:rFonts w:ascii="Arial" w:cs="Arial" w:eastAsia="Arial" w:hAnsi="Arial"/>
                <w:sz w:val="16"/>
                <w:szCs w:val="16"/>
                <w:color w:val="auto"/>
                <w:w w:val="94"/>
              </w:rPr>
              <w:t>June 30, 2021</w:t>
            </w:r>
          </w:p>
        </w:tc>
        <w:tc>
          <w:tcPr>
            <w:tcW w:w="16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right"/>
              <w:ind w:right="162"/>
              <w:spacing w:after="0"/>
              <w:rPr>
                <w:sz w:val="20"/>
                <w:szCs w:val="20"/>
                <w:color w:val="auto"/>
              </w:rPr>
            </w:pPr>
            <w:r>
              <w:rPr>
                <w:rFonts w:ascii="Arial" w:cs="Arial" w:eastAsia="Arial" w:hAnsi="Arial"/>
                <w:sz w:val="16"/>
                <w:szCs w:val="16"/>
                <w:color w:val="auto"/>
                <w:w w:val="91"/>
              </w:rPr>
              <w:t>December 31, 2021</w:t>
            </w:r>
          </w:p>
        </w:tc>
        <w:tc>
          <w:tcPr>
            <w:tcW w:w="20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222"/>
              <w:spacing w:after="0"/>
              <w:rPr>
                <w:sz w:val="20"/>
                <w:szCs w:val="20"/>
                <w:color w:val="auto"/>
              </w:rPr>
            </w:pPr>
            <w:r>
              <w:rPr>
                <w:rFonts w:ascii="Arial" w:cs="Arial" w:eastAsia="Arial" w:hAnsi="Arial"/>
                <w:sz w:val="16"/>
                <w:szCs w:val="16"/>
                <w:color w:val="auto"/>
                <w:w w:val="94"/>
              </w:rPr>
              <w:t>June 30, 2022</w:t>
            </w:r>
          </w:p>
        </w:tc>
        <w:tc>
          <w:tcPr>
            <w:tcW w:w="18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ind w:right="142"/>
              <w:spacing w:after="0"/>
              <w:rPr>
                <w:sz w:val="20"/>
                <w:szCs w:val="20"/>
                <w:color w:val="auto"/>
              </w:rPr>
            </w:pPr>
            <w:r>
              <w:rPr>
                <w:rFonts w:ascii="Arial" w:cs="Arial" w:eastAsia="Arial" w:hAnsi="Arial"/>
                <w:sz w:val="16"/>
                <w:szCs w:val="16"/>
                <w:color w:val="auto"/>
                <w:w w:val="89"/>
              </w:rPr>
              <w:t>December 31, 2022</w:t>
            </w:r>
          </w:p>
        </w:tc>
        <w:tc>
          <w:tcPr>
            <w:tcW w:w="2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282"/>
              <w:spacing w:after="0"/>
              <w:rPr>
                <w:sz w:val="20"/>
                <w:szCs w:val="20"/>
                <w:color w:val="auto"/>
              </w:rPr>
            </w:pPr>
            <w:r>
              <w:rPr>
                <w:rFonts w:ascii="Arial" w:cs="Arial" w:eastAsia="Arial" w:hAnsi="Arial"/>
                <w:sz w:val="16"/>
                <w:szCs w:val="16"/>
                <w:color w:val="auto"/>
              </w:rPr>
              <w:t>Total</w:t>
            </w:r>
          </w:p>
        </w:tc>
      </w:tr>
      <w:tr>
        <w:trPr>
          <w:trHeight w:val="205"/>
        </w:trPr>
        <w:tc>
          <w:tcPr>
            <w:tcW w:w="3840" w:type="dxa"/>
            <w:vAlign w:val="bottom"/>
            <w:shd w:val="clear" w:color="auto" w:fill="CCEEFF"/>
          </w:tcPr>
          <w:p>
            <w:pPr>
              <w:ind w:left="20"/>
              <w:spacing w:after="0"/>
              <w:rPr>
                <w:sz w:val="20"/>
                <w:szCs w:val="20"/>
                <w:color w:val="auto"/>
              </w:rPr>
            </w:pPr>
            <w:r>
              <w:rPr>
                <w:rFonts w:ascii="Arial" w:cs="Arial" w:eastAsia="Arial" w:hAnsi="Arial"/>
                <w:sz w:val="16"/>
                <w:szCs w:val="16"/>
                <w:color w:val="auto"/>
              </w:rPr>
              <w:t>Scheduled Principal Payments</w:t>
            </w: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37,468</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20,000</w:t>
            </w: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20,000</w:t>
            </w:r>
          </w:p>
        </w:tc>
        <w:tc>
          <w:tcPr>
            <w:tcW w:w="1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w w:val="89"/>
              </w:rPr>
              <w:t>$</w:t>
            </w:r>
          </w:p>
        </w:tc>
        <w:tc>
          <w:tcPr>
            <w:tcW w:w="15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109,520</w:t>
            </w:r>
          </w:p>
        </w:tc>
        <w:tc>
          <w:tcPr>
            <w:tcW w:w="240" w:type="dxa"/>
            <w:vAlign w:val="bottom"/>
            <w:shd w:val="clear" w:color="auto" w:fill="CCEEFF"/>
          </w:tcPr>
          <w:p>
            <w:pPr>
              <w:jc w:val="right"/>
              <w:ind w:right="62"/>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186,988</w:t>
            </w:r>
          </w:p>
        </w:tc>
      </w:tr>
      <w:tr>
        <w:trPr>
          <w:trHeight w:val="206"/>
        </w:trPr>
        <w:tc>
          <w:tcPr>
            <w:tcW w:w="3840" w:type="dxa"/>
            <w:vAlign w:val="bottom"/>
          </w:tcPr>
          <w:p>
            <w:pPr>
              <w:ind w:left="20"/>
              <w:spacing w:after="0"/>
              <w:rPr>
                <w:sz w:val="20"/>
                <w:szCs w:val="20"/>
                <w:color w:val="auto"/>
              </w:rPr>
            </w:pPr>
            <w:r>
              <w:rPr>
                <w:rFonts w:ascii="Arial" w:cs="Arial" w:eastAsia="Arial" w:hAnsi="Arial"/>
                <w:sz w:val="16"/>
                <w:szCs w:val="16"/>
                <w:color w:val="auto"/>
              </w:rPr>
              <w:t>Less: Excess Cash Flow Payment, March 2021</w:t>
            </w:r>
          </w:p>
        </w:tc>
        <w:tc>
          <w:tcPr>
            <w:tcW w:w="200" w:type="dxa"/>
            <w:vAlign w:val="bottom"/>
          </w:tcPr>
          <w:p>
            <w:pPr>
              <w:spacing w:after="0"/>
              <w:rPr>
                <w:sz w:val="17"/>
                <w:szCs w:val="17"/>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(4,357)</w:t>
            </w:r>
          </w:p>
        </w:tc>
        <w:tc>
          <w:tcPr>
            <w:tcW w:w="160" w:type="dxa"/>
            <w:vAlign w:val="bottom"/>
          </w:tcPr>
          <w:p>
            <w:pPr>
              <w:spacing w:after="0"/>
              <w:rPr>
                <w:sz w:val="17"/>
                <w:szCs w:val="17"/>
                <w:color w:val="auto"/>
              </w:rPr>
            </w:pPr>
          </w:p>
        </w:tc>
        <w:tc>
          <w:tcPr>
            <w:tcW w:w="15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(4,357)</w:t>
            </w:r>
          </w:p>
        </w:tc>
      </w:tr>
      <w:tr>
        <w:trPr>
          <w:trHeight w:val="212"/>
        </w:trPr>
        <w:tc>
          <w:tcPr>
            <w:tcW w:w="3840" w:type="dxa"/>
            <w:vAlign w:val="bottom"/>
            <w:shd w:val="clear" w:color="auto" w:fill="CCEEFF"/>
          </w:tcPr>
          <w:p>
            <w:pPr>
              <w:ind w:left="20"/>
              <w:spacing w:after="0"/>
              <w:rPr>
                <w:sz w:val="20"/>
                <w:szCs w:val="20"/>
                <w:color w:val="auto"/>
              </w:rPr>
            </w:pPr>
            <w:r>
              <w:rPr>
                <w:rFonts w:ascii="Arial" w:cs="Arial" w:eastAsia="Arial" w:hAnsi="Arial"/>
                <w:sz w:val="16"/>
                <w:szCs w:val="16"/>
                <w:color w:val="auto"/>
              </w:rPr>
              <w:t>Less: Mandatory Prepayment, April 2021</w:t>
            </w:r>
          </w:p>
        </w:tc>
        <w:tc>
          <w:tcPr>
            <w:tcW w:w="20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(33,111)</w:t>
            </w:r>
          </w:p>
        </w:tc>
        <w:tc>
          <w:tcPr>
            <w:tcW w:w="160" w:type="dxa"/>
            <w:vAlign w:val="bottom"/>
            <w:shd w:val="clear" w:color="auto" w:fill="CCEEFF"/>
          </w:tcPr>
          <w:p>
            <w:pPr>
              <w:spacing w:after="0"/>
              <w:rPr>
                <w:sz w:val="18"/>
                <w:szCs w:val="18"/>
                <w:color w:val="auto"/>
              </w:rPr>
            </w:pPr>
          </w:p>
        </w:tc>
        <w:tc>
          <w:tcPr>
            <w:tcW w:w="1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(14,191)</w:t>
            </w:r>
          </w:p>
        </w:tc>
        <w:tc>
          <w:tcPr>
            <w:tcW w:w="20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(47,302)</w:t>
            </w:r>
          </w:p>
        </w:tc>
      </w:tr>
      <w:tr>
        <w:trPr>
          <w:trHeight w:val="206"/>
        </w:trPr>
        <w:tc>
          <w:tcPr>
            <w:tcW w:w="3840" w:type="dxa"/>
            <w:vAlign w:val="bottom"/>
          </w:tcPr>
          <w:p>
            <w:pPr>
              <w:ind w:left="20"/>
              <w:spacing w:after="0"/>
              <w:rPr>
                <w:sz w:val="20"/>
                <w:szCs w:val="20"/>
                <w:color w:val="auto"/>
              </w:rPr>
            </w:pPr>
            <w:r>
              <w:rPr>
                <w:rFonts w:ascii="Arial" w:cs="Arial" w:eastAsia="Arial" w:hAnsi="Arial"/>
                <w:sz w:val="16"/>
                <w:szCs w:val="16"/>
                <w:color w:val="auto"/>
              </w:rPr>
              <w:t>Less: Voluntary Prepayment, June 2021</w:t>
            </w:r>
          </w:p>
        </w:tc>
        <w:tc>
          <w:tcPr>
            <w:tcW w:w="200" w:type="dxa"/>
            <w:vAlign w:val="bottom"/>
          </w:tcPr>
          <w:p>
            <w:pPr>
              <w:spacing w:after="0"/>
              <w:rPr>
                <w:sz w:val="17"/>
                <w:szCs w:val="17"/>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540" w:type="dxa"/>
            <w:vAlign w:val="bottom"/>
          </w:tcPr>
          <w:p>
            <w:pPr>
              <w:jc w:val="right"/>
              <w:spacing w:after="0"/>
              <w:rPr>
                <w:sz w:val="20"/>
                <w:szCs w:val="20"/>
                <w:color w:val="auto"/>
              </w:rPr>
            </w:pPr>
            <w:r>
              <w:rPr>
                <w:rFonts w:ascii="Arial" w:cs="Arial" w:eastAsia="Arial" w:hAnsi="Arial"/>
                <w:sz w:val="16"/>
                <w:szCs w:val="16"/>
                <w:color w:val="auto"/>
              </w:rPr>
              <w:t>(5,809)</w:t>
            </w:r>
          </w:p>
        </w:tc>
        <w:tc>
          <w:tcPr>
            <w:tcW w:w="200" w:type="dxa"/>
            <w:vAlign w:val="bottom"/>
          </w:tcPr>
          <w:p>
            <w:pPr>
              <w:spacing w:after="0"/>
              <w:rPr>
                <w:sz w:val="17"/>
                <w:szCs w:val="17"/>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(20,000)</w:t>
            </w:r>
          </w:p>
        </w:tc>
        <w:tc>
          <w:tcPr>
            <w:tcW w:w="180" w:type="dxa"/>
            <w:vAlign w:val="bottom"/>
          </w:tcPr>
          <w:p>
            <w:pPr>
              <w:spacing w:after="0"/>
              <w:rPr>
                <w:sz w:val="17"/>
                <w:szCs w:val="17"/>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(11,696)</w:t>
            </w:r>
          </w:p>
        </w:tc>
        <w:tc>
          <w:tcPr>
            <w:tcW w:w="24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(37,505)</w:t>
            </w:r>
          </w:p>
        </w:tc>
      </w:tr>
      <w:tr>
        <w:trPr>
          <w:trHeight w:val="209"/>
        </w:trPr>
        <w:tc>
          <w:tcPr>
            <w:tcW w:w="3840" w:type="dxa"/>
            <w:vAlign w:val="bottom"/>
            <w:shd w:val="clear" w:color="auto" w:fill="CCEEFF"/>
          </w:tcPr>
          <w:p>
            <w:pPr>
              <w:ind w:left="20"/>
              <w:spacing w:after="0"/>
              <w:rPr>
                <w:sz w:val="20"/>
                <w:szCs w:val="20"/>
                <w:color w:val="auto"/>
              </w:rPr>
            </w:pPr>
            <w:r>
              <w:rPr>
                <w:rFonts w:ascii="Arial" w:cs="Arial" w:eastAsia="Arial" w:hAnsi="Arial"/>
                <w:sz w:val="16"/>
                <w:szCs w:val="16"/>
                <w:color w:val="auto"/>
              </w:rPr>
              <w:t>Less: Voluntary Prepayment, September 2021</w:t>
            </w:r>
          </w:p>
        </w:tc>
        <w:tc>
          <w:tcPr>
            <w:tcW w:w="20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shd w:val="clear" w:color="auto" w:fill="CCEEFF"/>
          </w:tcPr>
          <w:p>
            <w:pPr>
              <w:spacing w:after="0"/>
              <w:rPr>
                <w:sz w:val="18"/>
                <w:szCs w:val="18"/>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shd w:val="clear" w:color="auto" w:fill="CCEEFF"/>
          </w:tcPr>
          <w:p>
            <w:pPr>
              <w:spacing w:after="0"/>
              <w:rPr>
                <w:sz w:val="18"/>
                <w:szCs w:val="18"/>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(37,500)</w:t>
            </w:r>
          </w:p>
        </w:tc>
        <w:tc>
          <w:tcPr>
            <w:tcW w:w="24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(37,500)</w:t>
            </w:r>
          </w:p>
        </w:tc>
      </w:tr>
      <w:tr>
        <w:trPr>
          <w:trHeight w:val="205"/>
        </w:trPr>
        <w:tc>
          <w:tcPr>
            <w:tcW w:w="3840" w:type="dxa"/>
            <w:vAlign w:val="bottom"/>
          </w:tcPr>
          <w:p>
            <w:pPr>
              <w:ind w:left="20"/>
              <w:spacing w:after="0"/>
              <w:rPr>
                <w:sz w:val="20"/>
                <w:szCs w:val="20"/>
                <w:color w:val="auto"/>
              </w:rPr>
            </w:pPr>
            <w:r>
              <w:rPr>
                <w:rFonts w:ascii="Arial" w:cs="Arial" w:eastAsia="Arial" w:hAnsi="Arial"/>
                <w:sz w:val="16"/>
                <w:szCs w:val="16"/>
                <w:color w:val="auto"/>
              </w:rPr>
              <w:t>Remaining Scheduled Payments</w:t>
            </w:r>
          </w:p>
        </w:tc>
        <w:tc>
          <w:tcPr>
            <w:tcW w:w="200" w:type="dxa"/>
            <w:vAlign w:val="bottom"/>
            <w:tcBorders>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144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rPr>
              <w:t>— $</w:t>
            </w:r>
          </w:p>
        </w:tc>
        <w:tc>
          <w:tcPr>
            <w:tcW w:w="1740" w:type="dxa"/>
            <w:vAlign w:val="bottom"/>
            <w:tcBorders>
              <w:bottom w:val="single" w:sz="8" w:color="auto"/>
            </w:tcBorders>
            <w:gridSpan w:val="2"/>
          </w:tcPr>
          <w:p>
            <w:pPr>
              <w:jc w:val="right"/>
              <w:ind w:right="22"/>
              <w:spacing w:after="0"/>
              <w:rPr>
                <w:sz w:val="20"/>
                <w:szCs w:val="20"/>
                <w:color w:val="auto"/>
              </w:rPr>
            </w:pPr>
            <w:r>
              <w:rPr>
                <w:rFonts w:ascii="Arial" w:cs="Arial" w:eastAsia="Arial" w:hAnsi="Arial"/>
                <w:sz w:val="16"/>
                <w:szCs w:val="16"/>
                <w:color w:val="auto"/>
              </w:rPr>
              <w:t>— $</w:t>
            </w:r>
          </w:p>
        </w:tc>
        <w:tc>
          <w:tcPr>
            <w:tcW w:w="1460" w:type="dxa"/>
            <w:vAlign w:val="bottom"/>
            <w:tcBorders>
              <w:bottom w:val="single" w:sz="8" w:color="auto"/>
            </w:tcBorders>
            <w:gridSpan w:val="2"/>
          </w:tcPr>
          <w:p>
            <w:pPr>
              <w:jc w:val="right"/>
              <w:ind w:right="2"/>
              <w:spacing w:after="0"/>
              <w:rPr>
                <w:sz w:val="20"/>
                <w:szCs w:val="20"/>
                <w:color w:val="auto"/>
              </w:rPr>
            </w:pPr>
            <w:r>
              <w:rPr>
                <w:rFonts w:ascii="Arial" w:cs="Arial" w:eastAsia="Arial" w:hAnsi="Arial"/>
                <w:sz w:val="16"/>
                <w:szCs w:val="16"/>
                <w:color w:val="auto"/>
              </w:rPr>
              <w:t>— $</w:t>
            </w: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60,324</w:t>
            </w:r>
          </w:p>
        </w:tc>
        <w:tc>
          <w:tcPr>
            <w:tcW w:w="240" w:type="dxa"/>
            <w:vAlign w:val="bottom"/>
            <w:tcBorders>
              <w:bottom w:val="single" w:sz="8" w:color="auto"/>
            </w:tcBorders>
          </w:tcPr>
          <w:p>
            <w:pPr>
              <w:jc w:val="right"/>
              <w:ind w:right="62"/>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60,324</w:t>
            </w:r>
          </w:p>
        </w:tc>
      </w:tr>
      <w:tr>
        <w:trPr>
          <w:trHeight w:val="20"/>
        </w:trPr>
        <w:tc>
          <w:tcPr>
            <w:tcW w:w="38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Second Lien Facility Agreement</w:t>
      </w:r>
    </w:p>
    <w:p>
      <w:pPr>
        <w:spacing w:after="0" w:line="249"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In November 2019, the Company entered into a $199.0 million Second Lien Facility Agreement with Thermo, an affiliate of EchoStar Corporation and certain other unaffiliated lenders. The Second Lien Facility Agreement is scheduled to mature in November 2025. The loans under the Second Lien Facility Agreement bear interest at a blended rate of 13.5% per annum to be paid in kind (or in cash at the option of the Company, subject to restrictions in the First Lien Facility Agreement).</w:t>
      </w:r>
    </w:p>
    <w:p>
      <w:pPr>
        <w:spacing w:after="0" w:line="202"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As additional consideration for the loan, the Company issued the lenders warrants to purchase 124.5 million shares of voting common stock at an exercise price of $0.38 per share. All of these warrants were exercised before their expiration date on March 31, 2021, resulting in proceeds to the Company totaling $47.3 million.</w:t>
      </w:r>
    </w:p>
    <w:p>
      <w:pPr>
        <w:spacing w:after="0" w:line="198" w:lineRule="exact"/>
        <w:rPr>
          <w:sz w:val="20"/>
          <w:szCs w:val="20"/>
          <w:color w:val="auto"/>
        </w:rPr>
      </w:pPr>
    </w:p>
    <w:p>
      <w:pPr>
        <w:ind w:left="240"/>
        <w:spacing w:after="0"/>
        <w:rPr>
          <w:sz w:val="20"/>
          <w:szCs w:val="20"/>
          <w:color w:val="auto"/>
        </w:rPr>
      </w:pPr>
      <w:r>
        <w:rPr>
          <w:rFonts w:ascii="Arial" w:cs="Arial" w:eastAsia="Arial" w:hAnsi="Arial"/>
          <w:sz w:val="17"/>
          <w:szCs w:val="17"/>
          <w:color w:val="auto"/>
        </w:rPr>
        <w:t>As of September 30, 2021, the Company was in compliance with the covenants of the Second Lien Facility Agreement.</w:t>
      </w:r>
    </w:p>
    <w:p>
      <w:pPr>
        <w:spacing w:after="0" w:line="249"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Refer to Note 6: Derivatives and Note 7: Fair Value Measurements for further discussion on the compound embedded derivative bifurcated from the Second Lien Facility Agreement.</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Thermo Loan Agreement</w:t>
      </w:r>
    </w:p>
    <w:p>
      <w:pPr>
        <w:spacing w:after="0" w:line="249"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In connection with the amendment and restatement of the First Lien Facility Agreement in July 2013, the Company amended and restated its loan agreement with Thermo (the “Loan Agreement”). The Loan Agreement was convertible into shares of common stock at a conversion price of $0.69 (as adjusted) per share of common stock. The Loan Agreement accrued interest at 12% per annum, which was capitalized and added to the outstanding principal in lieu of cash payments.</w:t>
      </w:r>
    </w:p>
    <w:p>
      <w:pPr>
        <w:spacing w:after="0" w:line="202"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On February 19, 2020, Thermo converted the entire principal balance outstanding under the Loan Agreement, which totaled $137.4 million and included accrued interest since inception of $93.9 million. This conversion resulted in the issuance of 200.1 million shares of common stock. In accordance with applicable accounting guidance for debt extinguishment with related parties, upon conversion, the remaining debt discount was written off and recorded as a contribution to capital though equity and the associated derivative liability was marked to market at the conversion date and then extinguished through equity as a contribution to capital.</w:t>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17" w:name="page18"/>
    <w:bookmarkEnd w:id="17"/>
    <w:p>
      <w:pPr>
        <w:jc w:val="both"/>
        <w:ind w:firstLine="235"/>
        <w:spacing w:after="0" w:line="288" w:lineRule="auto"/>
        <w:rPr>
          <w:sz w:val="20"/>
          <w:szCs w:val="20"/>
          <w:color w:val="auto"/>
        </w:rPr>
      </w:pPr>
      <w:r>
        <w:rPr>
          <w:rFonts w:ascii="Arial" w:cs="Arial" w:eastAsia="Arial" w:hAnsi="Arial"/>
          <w:sz w:val="17"/>
          <w:szCs w:val="17"/>
          <w:color w:val="auto"/>
        </w:rPr>
        <w:t>Refer to Note 6: Derivatives and Note 7: Fair Value Measurements for further discussion on the compound embedded derivative bifurcated from the Loan Agreement with Thermo.</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8.00% Convertible Senior Notes Issued in 2013</w:t>
      </w:r>
    </w:p>
    <w:p>
      <w:pPr>
        <w:spacing w:after="0" w:line="223" w:lineRule="exact"/>
        <w:rPr>
          <w:sz w:val="20"/>
          <w:szCs w:val="20"/>
          <w:color w:val="auto"/>
        </w:rPr>
      </w:pPr>
    </w:p>
    <w:p>
      <w:pPr>
        <w:jc w:val="both"/>
        <w:ind w:firstLine="235"/>
        <w:spacing w:after="0" w:line="263" w:lineRule="auto"/>
        <w:rPr>
          <w:sz w:val="20"/>
          <w:szCs w:val="20"/>
          <w:color w:val="auto"/>
        </w:rPr>
      </w:pPr>
      <w:r>
        <w:rPr>
          <w:rFonts w:ascii="Arial" w:cs="Arial" w:eastAsia="Arial" w:hAnsi="Arial"/>
          <w:sz w:val="17"/>
          <w:szCs w:val="17"/>
          <w:color w:val="auto"/>
        </w:rPr>
        <w:t>In May 2013, the Company issued $54.6 million aggregate principal amount of its 2013 8.00% Notes. The 2013 8.00% Notes are convertible into shares of common stock at a conversion price of $0.69 per share of common stock, as adjusted pursuant to the terms of the Fourth Supplemental Indenture between the Company and U.S. Bank National Association, as Trustee (the “Indenture”). The 2013 8.00% Notes are senior unsecured debt obligations that mature on April 1, 2028, subject to various call and put features, and bear interest at a rate of 8.00% per annum. Interest is paid in cash at a rate of 5.75% and in additional notes at a rate of 2.25%. Since issuance, $55.5 million of principal amount of the 2013 8.00% Notes have been converted resulting in the issuance of 98.6 million shares of Globalstar common stock.</w:t>
      </w:r>
    </w:p>
    <w:p>
      <w:pPr>
        <w:spacing w:after="0" w:line="205" w:lineRule="exact"/>
        <w:rPr>
          <w:sz w:val="20"/>
          <w:szCs w:val="20"/>
          <w:color w:val="auto"/>
        </w:rPr>
      </w:pPr>
    </w:p>
    <w:p>
      <w:pPr>
        <w:jc w:val="both"/>
        <w:ind w:firstLine="235"/>
        <w:spacing w:after="0" w:line="321" w:lineRule="auto"/>
        <w:rPr>
          <w:sz w:val="20"/>
          <w:szCs w:val="20"/>
          <w:color w:val="auto"/>
        </w:rPr>
      </w:pPr>
      <w:r>
        <w:rPr>
          <w:rFonts w:ascii="Arial" w:cs="Arial" w:eastAsia="Arial" w:hAnsi="Arial"/>
          <w:sz w:val="16"/>
          <w:szCs w:val="16"/>
          <w:color w:val="auto"/>
        </w:rPr>
        <w:t>The Company may redeem the 2013 8.00% Notes, with the prior approval of the majority lenders under the First Lien Facility Agreement and the Second Lien Facility Agreement. A holder may convert its 2013 8.00% Notes at its option at any time prior to April 1, 2028 into shares of common stock.</w:t>
      </w:r>
    </w:p>
    <w:p>
      <w:pPr>
        <w:spacing w:after="0" w:line="161"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The Indenture provides for customary events of default. As of September 30, 2021, the Company was in compliance with respect to the terms of the 2013 8.00% Notes and the Indenture.</w:t>
      </w:r>
    </w:p>
    <w:p>
      <w:pPr>
        <w:spacing w:after="0" w:line="184"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The amount by which the if-converted value of the 2013 8.00% Notes exceeded the principal amount at September 30, 2021, assuming conversion at the closing price of the Company's common stock on that date of $1.67 per share, is approximately $2.5 million.</w:t>
      </w:r>
    </w:p>
    <w:p>
      <w:pPr>
        <w:spacing w:after="0" w:line="184"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Refer to Note 6: Derivatives and Note 7: Fair Value Measurements for further discussion on the compound embedded derivative bifurcated from the 2013 8.00% Notes.</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Paycheck Protection Program Loan</w:t>
      </w:r>
    </w:p>
    <w:p>
      <w:pPr>
        <w:spacing w:after="0" w:line="249"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6"/>
          <w:szCs w:val="16"/>
          <w:color w:val="auto"/>
        </w:rPr>
        <w:t>In April 2020, the Company sought relief under the Coronavirus Aid, Relief and Economic Security (“CARES”) Act and received a $5.0 million loan (the "PPP Loan") under the PPP. In June 2021, the Small Business Administration ("SBA") approved the Company's request for forgiveness of all amounts outstanding under the PPP Loan, including accrued interest. Prior to forgiveness, the PPP Loan was an unsecured debt obligation and was scheduled to mature in April 2022. Any amount not forgiven by the SBA was subject to an interest rate of 1.00% per annum commencing on the date of the PPP Loan.</w:t>
      </w:r>
    </w:p>
    <w:p>
      <w:pPr>
        <w:spacing w:after="0" w:line="188" w:lineRule="exact"/>
        <w:rPr>
          <w:sz w:val="20"/>
          <w:szCs w:val="20"/>
          <w:color w:val="auto"/>
        </w:rPr>
      </w:pPr>
    </w:p>
    <w:p>
      <w:pPr>
        <w:ind w:left="240"/>
        <w:spacing w:after="0"/>
        <w:rPr>
          <w:sz w:val="20"/>
          <w:szCs w:val="20"/>
          <w:color w:val="auto"/>
        </w:rPr>
      </w:pPr>
      <w:r>
        <w:rPr>
          <w:rFonts w:ascii="Arial" w:cs="Arial" w:eastAsia="Arial" w:hAnsi="Arial"/>
          <w:sz w:val="16"/>
          <w:szCs w:val="16"/>
          <w:color w:val="auto"/>
        </w:rPr>
        <w:t>The Company evaluated the applicable accounting guidance relative to the PPP Loan and accounted for the proceeds of the PPP Loan as debt under ASC</w:t>
      </w:r>
    </w:p>
    <w:p>
      <w:pPr>
        <w:spacing w:after="0" w:line="37" w:lineRule="exact"/>
        <w:rPr>
          <w:sz w:val="20"/>
          <w:szCs w:val="20"/>
          <w:color w:val="auto"/>
        </w:rPr>
      </w:pPr>
    </w:p>
    <w:p>
      <w:pPr>
        <w:ind w:firstLine="5"/>
        <w:spacing w:after="0" w:line="273" w:lineRule="auto"/>
        <w:tabs>
          <w:tab w:leader="none" w:pos="364" w:val="left"/>
        </w:tabs>
        <w:numPr>
          <w:ilvl w:val="0"/>
          <w:numId w:val="5"/>
        </w:numPr>
        <w:rPr>
          <w:rFonts w:ascii="Arial" w:cs="Arial" w:eastAsia="Arial" w:hAnsi="Arial"/>
          <w:sz w:val="17"/>
          <w:szCs w:val="17"/>
          <w:color w:val="auto"/>
        </w:rPr>
      </w:pPr>
      <w:r>
        <w:rPr>
          <w:rFonts w:ascii="Arial" w:cs="Arial" w:eastAsia="Arial" w:hAnsi="Arial"/>
          <w:sz w:val="17"/>
          <w:szCs w:val="17"/>
          <w:color w:val="auto"/>
        </w:rPr>
        <w:t>As the entire principal balance, including accrued interest, was forgiven in June 2021, the Company recorded a gain on extinguishment of debt totaling $5.0 million on its condensed consolidated statements of operations for the period ended June 30, 2021.</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18" w:name="page19"/>
    <w:bookmarkEnd w:id="18"/>
    <w:p>
      <w:pPr>
        <w:spacing w:after="0"/>
        <w:rPr>
          <w:sz w:val="20"/>
          <w:szCs w:val="20"/>
          <w:color w:val="auto"/>
        </w:rPr>
      </w:pPr>
      <w:r>
        <w:rPr>
          <w:rFonts w:ascii="Arial" w:cs="Arial" w:eastAsia="Arial" w:hAnsi="Arial"/>
          <w:sz w:val="17"/>
          <w:szCs w:val="17"/>
          <w:b w:val="1"/>
          <w:bCs w:val="1"/>
          <w:color w:val="auto"/>
        </w:rPr>
        <w:t>6. DERIVATIVES</w:t>
      </w:r>
    </w:p>
    <w:p>
      <w:pPr>
        <w:spacing w:after="0" w:line="255" w:lineRule="exact"/>
        <w:rPr>
          <w:sz w:val="20"/>
          <w:szCs w:val="20"/>
          <w:color w:val="auto"/>
        </w:rPr>
      </w:pPr>
    </w:p>
    <w:p>
      <w:pPr>
        <w:jc w:val="both"/>
        <w:ind w:firstLine="235"/>
        <w:spacing w:after="0" w:line="256" w:lineRule="auto"/>
        <w:rPr>
          <w:sz w:val="20"/>
          <w:szCs w:val="20"/>
          <w:color w:val="auto"/>
        </w:rPr>
      </w:pPr>
      <w:r>
        <w:rPr>
          <w:rFonts w:ascii="Arial" w:cs="Arial" w:eastAsia="Arial" w:hAnsi="Arial"/>
          <w:sz w:val="17"/>
          <w:szCs w:val="17"/>
          <w:color w:val="auto"/>
        </w:rPr>
        <w:t>The Company has identified various embedded derivatives resulting from certain features in the Company’s existing borrowing arrangements, requiring recognition on its condensed consolidated balance sheets. None of these derivative instruments are designated as a hedge. The following table discloses the fair values of the derivative instruments on the Company’s condensed consolidated balance sheets (in thousands):</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70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920" w:type="dxa"/>
            <w:vAlign w:val="bottom"/>
            <w:gridSpan w:val="2"/>
          </w:tcPr>
          <w:p>
            <w:pPr>
              <w:ind w:left="100"/>
              <w:spacing w:after="0"/>
              <w:rPr>
                <w:sz w:val="20"/>
                <w:szCs w:val="20"/>
                <w:color w:val="auto"/>
              </w:rPr>
            </w:pPr>
            <w:r>
              <w:rPr>
                <w:rFonts w:ascii="Arial" w:cs="Arial" w:eastAsia="Arial" w:hAnsi="Arial"/>
                <w:sz w:val="17"/>
                <w:szCs w:val="17"/>
                <w:color w:val="auto"/>
              </w:rPr>
              <w:t>September 30, 2021</w:t>
            </w:r>
          </w:p>
        </w:tc>
        <w:tc>
          <w:tcPr>
            <w:tcW w:w="200" w:type="dxa"/>
            <w:vAlign w:val="bottom"/>
          </w:tcPr>
          <w:p>
            <w:pPr>
              <w:spacing w:after="0"/>
              <w:rPr>
                <w:sz w:val="19"/>
                <w:szCs w:val="19"/>
                <w:color w:val="auto"/>
              </w:rPr>
            </w:pPr>
          </w:p>
        </w:tc>
        <w:tc>
          <w:tcPr>
            <w:tcW w:w="1820" w:type="dxa"/>
            <w:vAlign w:val="bottom"/>
          </w:tcPr>
          <w:p>
            <w:pPr>
              <w:ind w:left="120"/>
              <w:spacing w:after="0"/>
              <w:rPr>
                <w:sz w:val="20"/>
                <w:szCs w:val="20"/>
                <w:color w:val="auto"/>
              </w:rPr>
            </w:pPr>
            <w:r>
              <w:rPr>
                <w:rFonts w:ascii="Arial" w:cs="Arial" w:eastAsia="Arial" w:hAnsi="Arial"/>
                <w:sz w:val="17"/>
                <w:szCs w:val="17"/>
                <w:color w:val="auto"/>
              </w:rPr>
              <w:t>December 31, 2020</w:t>
            </w:r>
          </w:p>
        </w:tc>
      </w:tr>
      <w:tr>
        <w:trPr>
          <w:trHeight w:val="215"/>
        </w:trPr>
        <w:tc>
          <w:tcPr>
            <w:tcW w:w="70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Derivative assets:</w:t>
            </w:r>
          </w:p>
        </w:tc>
        <w:tc>
          <w:tcPr>
            <w:tcW w:w="220" w:type="dxa"/>
            <w:vAlign w:val="bottom"/>
            <w:tcBorders>
              <w:top w:val="single" w:sz="8" w:color="auto"/>
            </w:tcBorders>
            <w:shd w:val="clear" w:color="auto" w:fill="CCEEFF"/>
          </w:tcPr>
          <w:p>
            <w:pPr>
              <w:spacing w:after="0"/>
              <w:rPr>
                <w:sz w:val="18"/>
                <w:szCs w:val="18"/>
                <w:color w:val="auto"/>
              </w:rPr>
            </w:pPr>
          </w:p>
        </w:tc>
        <w:tc>
          <w:tcPr>
            <w:tcW w:w="180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820" w:type="dxa"/>
            <w:vAlign w:val="bottom"/>
            <w:tcBorders>
              <w:top w:val="single" w:sz="8" w:color="auto"/>
            </w:tcBorders>
            <w:shd w:val="clear" w:color="auto" w:fill="CCEEFF"/>
          </w:tcPr>
          <w:p>
            <w:pPr>
              <w:spacing w:after="0"/>
              <w:rPr>
                <w:sz w:val="18"/>
                <w:szCs w:val="18"/>
                <w:color w:val="auto"/>
              </w:rPr>
            </w:pPr>
          </w:p>
        </w:tc>
      </w:tr>
      <w:tr>
        <w:trPr>
          <w:trHeight w:val="222"/>
        </w:trPr>
        <w:tc>
          <w:tcPr>
            <w:tcW w:w="7060" w:type="dxa"/>
            <w:vAlign w:val="bottom"/>
            <w:tcBorders>
              <w:bottom w:val="single" w:sz="8" w:color="CCEEFF"/>
            </w:tcBorders>
          </w:tcPr>
          <w:p>
            <w:pPr>
              <w:ind w:left="140"/>
              <w:spacing w:after="0"/>
              <w:rPr>
                <w:sz w:val="20"/>
                <w:szCs w:val="20"/>
                <w:color w:val="auto"/>
              </w:rPr>
            </w:pPr>
            <w:r>
              <w:rPr>
                <w:rFonts w:ascii="Arial" w:cs="Arial" w:eastAsia="Arial" w:hAnsi="Arial"/>
                <w:sz w:val="17"/>
                <w:szCs w:val="17"/>
                <w:color w:val="auto"/>
              </w:rPr>
              <w:t>Compound embedded derivative with the Second Lien Facility Agreement</w:t>
            </w:r>
          </w:p>
        </w:tc>
        <w:tc>
          <w:tcPr>
            <w:tcW w:w="22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color w:val="auto"/>
                <w:w w:val="84"/>
              </w:rPr>
              <w:t>$</w:t>
            </w:r>
          </w:p>
        </w:tc>
        <w:tc>
          <w:tcPr>
            <w:tcW w:w="1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613</w:t>
            </w:r>
          </w:p>
        </w:tc>
        <w:tc>
          <w:tcPr>
            <w:tcW w:w="12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jc w:val="right"/>
              <w:ind w:right="13"/>
              <w:spacing w:after="0"/>
              <w:rPr>
                <w:sz w:val="20"/>
                <w:szCs w:val="20"/>
                <w:color w:val="auto"/>
              </w:rPr>
            </w:pPr>
            <w:r>
              <w:rPr>
                <w:rFonts w:ascii="Arial" w:cs="Arial" w:eastAsia="Arial" w:hAnsi="Arial"/>
                <w:sz w:val="17"/>
                <w:szCs w:val="17"/>
                <w:color w:val="auto"/>
                <w:w w:val="84"/>
              </w:rPr>
              <w:t>$</w:t>
            </w:r>
          </w:p>
        </w:tc>
        <w:tc>
          <w:tcPr>
            <w:tcW w:w="1820" w:type="dxa"/>
            <w:vAlign w:val="bottom"/>
            <w:tcBorders>
              <w:bottom w:val="single" w:sz="8" w:color="auto"/>
            </w:tcBorders>
          </w:tcPr>
          <w:p>
            <w:pPr>
              <w:jc w:val="center"/>
              <w:ind w:left="1313"/>
              <w:spacing w:after="0"/>
              <w:rPr>
                <w:sz w:val="20"/>
                <w:szCs w:val="20"/>
                <w:color w:val="auto"/>
              </w:rPr>
            </w:pPr>
            <w:r>
              <w:rPr>
                <w:rFonts w:ascii="Arial" w:cs="Arial" w:eastAsia="Arial" w:hAnsi="Arial"/>
                <w:sz w:val="17"/>
                <w:szCs w:val="17"/>
                <w:color w:val="auto"/>
                <w:w w:val="91"/>
              </w:rPr>
              <w:t>286</w:t>
            </w:r>
          </w:p>
        </w:tc>
      </w:tr>
      <w:tr>
        <w:trPr>
          <w:trHeight w:val="240"/>
        </w:trPr>
        <w:tc>
          <w:tcPr>
            <w:tcW w:w="7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derivative assets</w:t>
            </w: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613</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7"/>
                <w:szCs w:val="17"/>
                <w:color w:val="auto"/>
                <w:w w:val="84"/>
              </w:rPr>
              <w:t>$</w:t>
            </w:r>
          </w:p>
        </w:tc>
        <w:tc>
          <w:tcPr>
            <w:tcW w:w="1820" w:type="dxa"/>
            <w:vAlign w:val="bottom"/>
            <w:tcBorders>
              <w:bottom w:val="single" w:sz="8" w:color="auto"/>
            </w:tcBorders>
            <w:shd w:val="clear" w:color="auto" w:fill="CCEEFF"/>
          </w:tcPr>
          <w:p>
            <w:pPr>
              <w:jc w:val="center"/>
              <w:ind w:left="1313"/>
              <w:spacing w:after="0"/>
              <w:rPr>
                <w:sz w:val="20"/>
                <w:szCs w:val="20"/>
                <w:color w:val="auto"/>
              </w:rPr>
            </w:pPr>
            <w:r>
              <w:rPr>
                <w:rFonts w:ascii="Arial" w:cs="Arial" w:eastAsia="Arial" w:hAnsi="Arial"/>
                <w:sz w:val="17"/>
                <w:szCs w:val="17"/>
                <w:color w:val="auto"/>
                <w:w w:val="91"/>
              </w:rPr>
              <w:t>286</w:t>
            </w:r>
          </w:p>
        </w:tc>
      </w:tr>
      <w:tr>
        <w:trPr>
          <w:trHeight w:val="20"/>
        </w:trPr>
        <w:tc>
          <w:tcPr>
            <w:tcW w:w="70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820" w:type="dxa"/>
            <w:vAlign w:val="bottom"/>
            <w:tcBorders>
              <w:top w:val="single" w:sz="8" w:color="CCEEFF"/>
              <w:bottom w:val="single" w:sz="8" w:color="auto"/>
            </w:tcBorders>
          </w:tcPr>
          <w:p>
            <w:pPr>
              <w:spacing w:after="0" w:line="20" w:lineRule="exact"/>
              <w:rPr>
                <w:sz w:val="1"/>
                <w:szCs w:val="1"/>
                <w:color w:val="auto"/>
              </w:rPr>
            </w:pPr>
          </w:p>
        </w:tc>
      </w:tr>
      <w:tr>
        <w:trPr>
          <w:trHeight w:val="208"/>
        </w:trPr>
        <w:tc>
          <w:tcPr>
            <w:tcW w:w="7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20" w:type="dxa"/>
            <w:vAlign w:val="bottom"/>
          </w:tcPr>
          <w:p>
            <w:pPr>
              <w:spacing w:after="0"/>
              <w:rPr>
                <w:sz w:val="18"/>
                <w:szCs w:val="18"/>
                <w:color w:val="auto"/>
              </w:rPr>
            </w:pPr>
          </w:p>
        </w:tc>
      </w:tr>
      <w:tr>
        <w:trPr>
          <w:trHeight w:val="222"/>
        </w:trPr>
        <w:tc>
          <w:tcPr>
            <w:tcW w:w="7060" w:type="dxa"/>
            <w:vAlign w:val="bottom"/>
            <w:shd w:val="clear" w:color="auto" w:fill="CCEEFF"/>
          </w:tcPr>
          <w:p>
            <w:pPr>
              <w:ind w:left="20"/>
              <w:spacing w:after="0"/>
              <w:rPr>
                <w:sz w:val="20"/>
                <w:szCs w:val="20"/>
                <w:color w:val="auto"/>
              </w:rPr>
            </w:pPr>
            <w:r>
              <w:rPr>
                <w:rFonts w:ascii="Arial" w:cs="Arial" w:eastAsia="Arial" w:hAnsi="Arial"/>
                <w:sz w:val="17"/>
                <w:szCs w:val="17"/>
                <w:color w:val="auto"/>
              </w:rPr>
              <w:t>Derivative liabilities:</w:t>
            </w:r>
          </w:p>
        </w:tc>
        <w:tc>
          <w:tcPr>
            <w:tcW w:w="220" w:type="dxa"/>
            <w:vAlign w:val="bottom"/>
            <w:shd w:val="clear" w:color="auto" w:fill="CCEEFF"/>
          </w:tcPr>
          <w:p>
            <w:pPr>
              <w:spacing w:after="0"/>
              <w:rPr>
                <w:sz w:val="19"/>
                <w:szCs w:val="19"/>
                <w:color w:val="auto"/>
              </w:rPr>
            </w:pPr>
          </w:p>
        </w:tc>
        <w:tc>
          <w:tcPr>
            <w:tcW w:w="1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820" w:type="dxa"/>
            <w:vAlign w:val="bottom"/>
            <w:shd w:val="clear" w:color="auto" w:fill="CCEEFF"/>
          </w:tcPr>
          <w:p>
            <w:pPr>
              <w:spacing w:after="0"/>
              <w:rPr>
                <w:sz w:val="19"/>
                <w:szCs w:val="19"/>
                <w:color w:val="auto"/>
              </w:rPr>
            </w:pPr>
          </w:p>
        </w:tc>
      </w:tr>
      <w:tr>
        <w:trPr>
          <w:trHeight w:val="222"/>
        </w:trPr>
        <w:tc>
          <w:tcPr>
            <w:tcW w:w="7060" w:type="dxa"/>
            <w:vAlign w:val="bottom"/>
            <w:tcBorders>
              <w:bottom w:val="single" w:sz="8" w:color="CCEEFF"/>
            </w:tcBorders>
          </w:tcPr>
          <w:p>
            <w:pPr>
              <w:ind w:left="140"/>
              <w:spacing w:after="0"/>
              <w:rPr>
                <w:sz w:val="20"/>
                <w:szCs w:val="20"/>
                <w:color w:val="auto"/>
              </w:rPr>
            </w:pPr>
            <w:r>
              <w:rPr>
                <w:rFonts w:ascii="Arial" w:cs="Arial" w:eastAsia="Arial" w:hAnsi="Arial"/>
                <w:sz w:val="17"/>
                <w:szCs w:val="17"/>
                <w:color w:val="auto"/>
              </w:rPr>
              <w:t>Compound embedded derivative with the 2013 8.00% Notes</w:t>
            </w:r>
          </w:p>
        </w:tc>
        <w:tc>
          <w:tcPr>
            <w:tcW w:w="22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color w:val="auto"/>
                <w:w w:val="84"/>
              </w:rPr>
              <w:t>$</w:t>
            </w:r>
          </w:p>
        </w:tc>
        <w:tc>
          <w:tcPr>
            <w:tcW w:w="1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(2,660)</w:t>
            </w:r>
          </w:p>
        </w:tc>
        <w:tc>
          <w:tcPr>
            <w:tcW w:w="12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jc w:val="right"/>
              <w:ind w:right="13"/>
              <w:spacing w:after="0"/>
              <w:rPr>
                <w:sz w:val="20"/>
                <w:szCs w:val="20"/>
                <w:color w:val="auto"/>
              </w:rPr>
            </w:pPr>
            <w:r>
              <w:rPr>
                <w:rFonts w:ascii="Arial" w:cs="Arial" w:eastAsia="Arial" w:hAnsi="Arial"/>
                <w:sz w:val="17"/>
                <w:szCs w:val="17"/>
                <w:color w:val="auto"/>
                <w:w w:val="84"/>
              </w:rPr>
              <w:t>$</w:t>
            </w:r>
          </w:p>
        </w:tc>
        <w:tc>
          <w:tcPr>
            <w:tcW w:w="1820" w:type="dxa"/>
            <w:vAlign w:val="bottom"/>
            <w:tcBorders>
              <w:bottom w:val="single" w:sz="8" w:color="auto"/>
            </w:tcBorders>
          </w:tcPr>
          <w:p>
            <w:pPr>
              <w:jc w:val="center"/>
              <w:ind w:left="1313"/>
              <w:spacing w:after="0"/>
              <w:rPr>
                <w:sz w:val="20"/>
                <w:szCs w:val="20"/>
                <w:color w:val="auto"/>
              </w:rPr>
            </w:pPr>
            <w:r>
              <w:rPr>
                <w:rFonts w:ascii="Arial" w:cs="Arial" w:eastAsia="Arial" w:hAnsi="Arial"/>
                <w:sz w:val="17"/>
                <w:szCs w:val="17"/>
                <w:color w:val="auto"/>
                <w:w w:val="95"/>
              </w:rPr>
              <w:t>(123)</w:t>
            </w:r>
          </w:p>
        </w:tc>
      </w:tr>
      <w:tr>
        <w:trPr>
          <w:trHeight w:val="240"/>
        </w:trPr>
        <w:tc>
          <w:tcPr>
            <w:tcW w:w="7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derivative liabilities</w:t>
            </w: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(2,660)</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7"/>
                <w:szCs w:val="17"/>
                <w:color w:val="auto"/>
                <w:w w:val="84"/>
              </w:rPr>
              <w:t>$</w:t>
            </w:r>
          </w:p>
        </w:tc>
        <w:tc>
          <w:tcPr>
            <w:tcW w:w="1820" w:type="dxa"/>
            <w:vAlign w:val="bottom"/>
            <w:tcBorders>
              <w:bottom w:val="single" w:sz="8" w:color="auto"/>
            </w:tcBorders>
            <w:shd w:val="clear" w:color="auto" w:fill="CCEEFF"/>
          </w:tcPr>
          <w:p>
            <w:pPr>
              <w:jc w:val="center"/>
              <w:ind w:left="1313"/>
              <w:spacing w:after="0"/>
              <w:rPr>
                <w:sz w:val="20"/>
                <w:szCs w:val="20"/>
                <w:color w:val="auto"/>
              </w:rPr>
            </w:pPr>
            <w:r>
              <w:rPr>
                <w:rFonts w:ascii="Arial" w:cs="Arial" w:eastAsia="Arial" w:hAnsi="Arial"/>
                <w:sz w:val="17"/>
                <w:szCs w:val="17"/>
                <w:color w:val="auto"/>
                <w:w w:val="95"/>
              </w:rPr>
              <w:t>(123)</w:t>
            </w:r>
          </w:p>
        </w:tc>
      </w:tr>
      <w:tr>
        <w:trPr>
          <w:trHeight w:val="20"/>
        </w:trPr>
        <w:tc>
          <w:tcPr>
            <w:tcW w:w="70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820" w:type="dxa"/>
            <w:vAlign w:val="bottom"/>
            <w:tcBorders>
              <w:top w:val="single" w:sz="8" w:color="CCEEFF"/>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The derivative asset recorded for the Compound embedded derivative with the Second Lien Facility Agreement and the derivative liability recorded for the Compound embedded derivative with the 2013 8.00% Notes are included in Intangible and other assets, net and other non-current liabilities, respectively, on the Company's consolidated balance sheets.</w:t>
      </w:r>
    </w:p>
    <w:p>
      <w:pPr>
        <w:spacing w:after="0" w:line="198" w:lineRule="exact"/>
        <w:rPr>
          <w:sz w:val="20"/>
          <w:szCs w:val="20"/>
          <w:color w:val="auto"/>
        </w:rPr>
      </w:pPr>
    </w:p>
    <w:p>
      <w:pPr>
        <w:jc w:val="both"/>
        <w:ind w:firstLine="285"/>
        <w:spacing w:after="0" w:line="288" w:lineRule="auto"/>
        <w:rPr>
          <w:sz w:val="20"/>
          <w:szCs w:val="20"/>
          <w:color w:val="auto"/>
        </w:rPr>
      </w:pPr>
      <w:r>
        <w:rPr>
          <w:rFonts w:ascii="Arial" w:cs="Arial" w:eastAsia="Arial" w:hAnsi="Arial"/>
          <w:sz w:val="17"/>
          <w:szCs w:val="17"/>
          <w:color w:val="auto"/>
        </w:rPr>
        <w:t>The following table discloses the changes in value recorded as derivative gain (loss) in the Company’s condensed consolidated statement of operations (in thousands):</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34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3700" w:type="dxa"/>
            <w:vAlign w:val="bottom"/>
            <w:tcBorders>
              <w:bottom w:val="single" w:sz="8" w:color="auto"/>
            </w:tcBorders>
            <w:gridSpan w:val="4"/>
          </w:tcPr>
          <w:p>
            <w:pPr>
              <w:jc w:val="right"/>
              <w:ind w:right="1113"/>
              <w:spacing w:after="0"/>
              <w:rPr>
                <w:sz w:val="20"/>
                <w:szCs w:val="20"/>
                <w:color w:val="auto"/>
              </w:rPr>
            </w:pPr>
            <w:r>
              <w:rPr>
                <w:rFonts w:ascii="Arial" w:cs="Arial" w:eastAsia="Arial" w:hAnsi="Arial"/>
                <w:sz w:val="17"/>
                <w:szCs w:val="17"/>
                <w:color w:val="auto"/>
              </w:rPr>
              <w:t>Three Months Ended</w:t>
            </w:r>
          </w:p>
        </w:tc>
        <w:tc>
          <w:tcPr>
            <w:tcW w:w="1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3700" w:type="dxa"/>
            <w:vAlign w:val="bottom"/>
            <w:tcBorders>
              <w:bottom w:val="single" w:sz="8" w:color="auto"/>
            </w:tcBorders>
            <w:gridSpan w:val="4"/>
          </w:tcPr>
          <w:p>
            <w:pPr>
              <w:jc w:val="right"/>
              <w:ind w:right="1133"/>
              <w:spacing w:after="0"/>
              <w:rPr>
                <w:sz w:val="20"/>
                <w:szCs w:val="20"/>
                <w:color w:val="auto"/>
              </w:rPr>
            </w:pPr>
            <w:r>
              <w:rPr>
                <w:rFonts w:ascii="Arial" w:cs="Arial" w:eastAsia="Arial" w:hAnsi="Arial"/>
                <w:sz w:val="17"/>
                <w:szCs w:val="17"/>
                <w:color w:val="auto"/>
              </w:rPr>
              <w:t>Nine Months Ended</w:t>
            </w:r>
          </w:p>
        </w:tc>
        <w:tc>
          <w:tcPr>
            <w:tcW w:w="0" w:type="dxa"/>
            <w:vAlign w:val="bottom"/>
          </w:tcPr>
          <w:p>
            <w:pPr>
              <w:spacing w:after="0"/>
              <w:rPr>
                <w:sz w:val="1"/>
                <w:szCs w:val="1"/>
                <w:color w:val="auto"/>
              </w:rPr>
            </w:pPr>
          </w:p>
        </w:tc>
      </w:tr>
      <w:tr>
        <w:trPr>
          <w:trHeight w:val="215"/>
        </w:trPr>
        <w:tc>
          <w:tcPr>
            <w:tcW w:w="3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0" w:type="dxa"/>
            <w:vAlign w:val="bottom"/>
            <w:gridSpan w:val="2"/>
          </w:tcPr>
          <w:p>
            <w:pPr>
              <w:ind w:left="60"/>
              <w:spacing w:after="0"/>
              <w:rPr>
                <w:sz w:val="20"/>
                <w:szCs w:val="20"/>
                <w:color w:val="auto"/>
              </w:rPr>
            </w:pPr>
            <w:r>
              <w:rPr>
                <w:rFonts w:ascii="Arial" w:cs="Arial" w:eastAsia="Arial" w:hAnsi="Arial"/>
                <w:sz w:val="17"/>
                <w:szCs w:val="17"/>
                <w:color w:val="auto"/>
              </w:rPr>
              <w:t>September 30, 2021</w:t>
            </w:r>
          </w:p>
        </w:tc>
        <w:tc>
          <w:tcPr>
            <w:tcW w:w="180" w:type="dxa"/>
            <w:vAlign w:val="bottom"/>
          </w:tcPr>
          <w:p>
            <w:pPr>
              <w:spacing w:after="0"/>
              <w:rPr>
                <w:sz w:val="18"/>
                <w:szCs w:val="18"/>
                <w:color w:val="auto"/>
              </w:rPr>
            </w:pPr>
          </w:p>
        </w:tc>
        <w:tc>
          <w:tcPr>
            <w:tcW w:w="1820" w:type="dxa"/>
            <w:vAlign w:val="bottom"/>
            <w:gridSpan w:val="2"/>
          </w:tcPr>
          <w:p>
            <w:pPr>
              <w:ind w:left="80"/>
              <w:spacing w:after="0"/>
              <w:rPr>
                <w:sz w:val="20"/>
                <w:szCs w:val="20"/>
                <w:color w:val="auto"/>
              </w:rPr>
            </w:pPr>
            <w:r>
              <w:rPr>
                <w:rFonts w:ascii="Arial" w:cs="Arial" w:eastAsia="Arial" w:hAnsi="Arial"/>
                <w:sz w:val="17"/>
                <w:szCs w:val="17"/>
                <w:color w:val="auto"/>
              </w:rPr>
              <w:t>September 30, 2020</w:t>
            </w:r>
          </w:p>
        </w:tc>
        <w:tc>
          <w:tcPr>
            <w:tcW w:w="160" w:type="dxa"/>
            <w:vAlign w:val="bottom"/>
          </w:tcPr>
          <w:p>
            <w:pPr>
              <w:spacing w:after="0"/>
              <w:rPr>
                <w:sz w:val="18"/>
                <w:szCs w:val="18"/>
                <w:color w:val="auto"/>
              </w:rPr>
            </w:pPr>
          </w:p>
        </w:tc>
        <w:tc>
          <w:tcPr>
            <w:tcW w:w="1820" w:type="dxa"/>
            <w:vAlign w:val="bottom"/>
            <w:gridSpan w:val="2"/>
          </w:tcPr>
          <w:p>
            <w:pPr>
              <w:ind w:left="80"/>
              <w:spacing w:after="0"/>
              <w:rPr>
                <w:sz w:val="20"/>
                <w:szCs w:val="20"/>
                <w:color w:val="auto"/>
              </w:rPr>
            </w:pPr>
            <w:r>
              <w:rPr>
                <w:rFonts w:ascii="Arial" w:cs="Arial" w:eastAsia="Arial" w:hAnsi="Arial"/>
                <w:sz w:val="17"/>
                <w:szCs w:val="17"/>
                <w:color w:val="auto"/>
              </w:rPr>
              <w:t>September 30, 2021</w:t>
            </w:r>
          </w:p>
        </w:tc>
        <w:tc>
          <w:tcPr>
            <w:tcW w:w="180" w:type="dxa"/>
            <w:vAlign w:val="bottom"/>
          </w:tcPr>
          <w:p>
            <w:pPr>
              <w:spacing w:after="0"/>
              <w:rPr>
                <w:sz w:val="18"/>
                <w:szCs w:val="18"/>
                <w:color w:val="auto"/>
              </w:rPr>
            </w:pPr>
          </w:p>
        </w:tc>
        <w:tc>
          <w:tcPr>
            <w:tcW w:w="1700" w:type="dxa"/>
            <w:vAlign w:val="bottom"/>
          </w:tcPr>
          <w:p>
            <w:pPr>
              <w:jc w:val="right"/>
              <w:ind w:right="153"/>
              <w:spacing w:after="0"/>
              <w:rPr>
                <w:sz w:val="20"/>
                <w:szCs w:val="20"/>
                <w:color w:val="auto"/>
              </w:rPr>
            </w:pPr>
            <w:r>
              <w:rPr>
                <w:rFonts w:ascii="Arial" w:cs="Arial" w:eastAsia="Arial" w:hAnsi="Arial"/>
                <w:sz w:val="17"/>
                <w:szCs w:val="17"/>
                <w:color w:val="auto"/>
                <w:w w:val="93"/>
              </w:rPr>
              <w:t>September 30, 2020</w:t>
            </w:r>
          </w:p>
        </w:tc>
        <w:tc>
          <w:tcPr>
            <w:tcW w:w="0" w:type="dxa"/>
            <w:vAlign w:val="bottom"/>
          </w:tcPr>
          <w:p>
            <w:pPr>
              <w:spacing w:after="0"/>
              <w:rPr>
                <w:sz w:val="1"/>
                <w:szCs w:val="1"/>
                <w:color w:val="auto"/>
              </w:rPr>
            </w:pPr>
          </w:p>
        </w:tc>
      </w:tr>
      <w:tr>
        <w:trPr>
          <w:trHeight w:val="151"/>
        </w:trPr>
        <w:tc>
          <w:tcPr>
            <w:tcW w:w="3400" w:type="dxa"/>
            <w:vAlign w:val="bottom"/>
            <w:tcBorders>
              <w:top w:val="single" w:sz="8" w:color="CCEEFF"/>
            </w:tcBorders>
            <w:shd w:val="clear" w:color="auto" w:fill="CCEEFF"/>
          </w:tcPr>
          <w:p>
            <w:pPr>
              <w:ind w:left="20"/>
              <w:spacing w:after="0" w:line="151" w:lineRule="exact"/>
              <w:rPr>
                <w:sz w:val="20"/>
                <w:szCs w:val="20"/>
                <w:color w:val="auto"/>
              </w:rPr>
            </w:pPr>
            <w:r>
              <w:rPr>
                <w:rFonts w:ascii="Arial" w:cs="Arial" w:eastAsia="Arial" w:hAnsi="Arial"/>
                <w:sz w:val="17"/>
                <w:szCs w:val="17"/>
                <w:color w:val="auto"/>
                <w:w w:val="95"/>
              </w:rPr>
              <w:t>Compound embedded derivative with the 2013</w:t>
            </w:r>
          </w:p>
        </w:tc>
        <w:tc>
          <w:tcPr>
            <w:tcW w:w="18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0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7"/>
                <w:szCs w:val="17"/>
                <w:color w:val="auto"/>
              </w:rPr>
              <w:t>284</w:t>
            </w:r>
          </w:p>
        </w:tc>
        <w:tc>
          <w:tcPr>
            <w:tcW w:w="100" w:type="dxa"/>
            <w:vAlign w:val="bottom"/>
            <w:tcBorders>
              <w:top w:val="single" w:sz="8" w:color="CCEEFF"/>
            </w:tcBorders>
            <w:shd w:val="clear" w:color="auto" w:fill="CCEEFF"/>
          </w:tcPr>
          <w:p>
            <w:pPr>
              <w:spacing w:after="0"/>
              <w:rPr>
                <w:sz w:val="13"/>
                <w:szCs w:val="13"/>
                <w:color w:val="auto"/>
              </w:rPr>
            </w:pPr>
          </w:p>
        </w:tc>
        <w:tc>
          <w:tcPr>
            <w:tcW w:w="18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72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7"/>
                <w:szCs w:val="17"/>
                <w:color w:val="auto"/>
              </w:rPr>
              <w:t>97</w:t>
            </w:r>
          </w:p>
        </w:tc>
        <w:tc>
          <w:tcPr>
            <w:tcW w:w="100" w:type="dxa"/>
            <w:vAlign w:val="bottom"/>
            <w:tcBorders>
              <w:top w:val="single" w:sz="8" w:color="CCEEFF"/>
            </w:tcBorders>
            <w:shd w:val="clear" w:color="auto" w:fill="CCEEFF"/>
          </w:tcPr>
          <w:p>
            <w:pPr>
              <w:spacing w:after="0"/>
              <w:rPr>
                <w:sz w:val="13"/>
                <w:szCs w:val="13"/>
                <w:color w:val="auto"/>
              </w:rPr>
            </w:pPr>
          </w:p>
        </w:tc>
        <w:tc>
          <w:tcPr>
            <w:tcW w:w="16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7"/>
                <w:szCs w:val="17"/>
                <w:color w:val="auto"/>
              </w:rPr>
              <w:t>(2,537)</w:t>
            </w:r>
          </w:p>
        </w:tc>
        <w:tc>
          <w:tcPr>
            <w:tcW w:w="100" w:type="dxa"/>
            <w:vAlign w:val="bottom"/>
            <w:tcBorders>
              <w:top w:val="single" w:sz="8" w:color="CCEEFF"/>
            </w:tcBorders>
            <w:shd w:val="clear" w:color="auto" w:fill="CCEEFF"/>
          </w:tcPr>
          <w:p>
            <w:pPr>
              <w:spacing w:after="0"/>
              <w:rPr>
                <w:sz w:val="13"/>
                <w:szCs w:val="13"/>
                <w:color w:val="auto"/>
              </w:rPr>
            </w:pPr>
          </w:p>
        </w:tc>
        <w:tc>
          <w:tcPr>
            <w:tcW w:w="18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0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7"/>
                <w:szCs w:val="17"/>
                <w:color w:val="auto"/>
              </w:rPr>
              <w:t>364</w:t>
            </w:r>
          </w:p>
        </w:tc>
        <w:tc>
          <w:tcPr>
            <w:tcW w:w="0" w:type="dxa"/>
            <w:vAlign w:val="bottom"/>
          </w:tcPr>
          <w:p>
            <w:pPr>
              <w:spacing w:after="0"/>
              <w:rPr>
                <w:sz w:val="1"/>
                <w:szCs w:val="1"/>
                <w:color w:val="auto"/>
              </w:rPr>
            </w:pPr>
          </w:p>
        </w:tc>
      </w:tr>
      <w:tr>
        <w:trPr>
          <w:trHeight w:val="221"/>
        </w:trPr>
        <w:tc>
          <w:tcPr>
            <w:tcW w:w="3400" w:type="dxa"/>
            <w:vAlign w:val="bottom"/>
            <w:shd w:val="clear" w:color="auto" w:fill="CCEEFF"/>
          </w:tcPr>
          <w:p>
            <w:pPr>
              <w:ind w:left="20"/>
              <w:spacing w:after="0"/>
              <w:rPr>
                <w:sz w:val="20"/>
                <w:szCs w:val="20"/>
                <w:color w:val="auto"/>
              </w:rPr>
            </w:pPr>
            <w:r>
              <w:rPr>
                <w:rFonts w:ascii="Arial" w:cs="Arial" w:eastAsia="Arial" w:hAnsi="Arial"/>
                <w:sz w:val="17"/>
                <w:szCs w:val="17"/>
                <w:color w:val="auto"/>
              </w:rPr>
              <w:t>8.00% Notes</w:t>
            </w:r>
          </w:p>
        </w:tc>
        <w:tc>
          <w:tcPr>
            <w:tcW w:w="180" w:type="dxa"/>
            <w:vAlign w:val="bottom"/>
            <w:vMerge w:val="continue"/>
            <w:shd w:val="clear" w:color="auto" w:fill="CCEEFF"/>
          </w:tcPr>
          <w:p>
            <w:pPr>
              <w:spacing w:after="0"/>
              <w:rPr>
                <w:sz w:val="19"/>
                <w:szCs w:val="19"/>
                <w:color w:val="auto"/>
              </w:rPr>
            </w:pPr>
          </w:p>
        </w:tc>
        <w:tc>
          <w:tcPr>
            <w:tcW w:w="170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vMerge w:val="continue"/>
            <w:shd w:val="clear" w:color="auto" w:fill="CCEEFF"/>
          </w:tcPr>
          <w:p>
            <w:pPr>
              <w:spacing w:after="0"/>
              <w:rPr>
                <w:sz w:val="19"/>
                <w:szCs w:val="19"/>
                <w:color w:val="auto"/>
              </w:rPr>
            </w:pPr>
          </w:p>
        </w:tc>
        <w:tc>
          <w:tcPr>
            <w:tcW w:w="172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vMerge w:val="continue"/>
            <w:shd w:val="clear" w:color="auto" w:fill="CCEEFF"/>
          </w:tcPr>
          <w:p>
            <w:pPr>
              <w:spacing w:after="0"/>
              <w:rPr>
                <w:sz w:val="19"/>
                <w:szCs w:val="19"/>
                <w:color w:val="auto"/>
              </w:rPr>
            </w:pPr>
          </w:p>
        </w:tc>
        <w:tc>
          <w:tcPr>
            <w:tcW w:w="172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vMerge w:val="continue"/>
            <w:shd w:val="clear" w:color="auto" w:fill="CCEEFF"/>
          </w:tcPr>
          <w:p>
            <w:pPr>
              <w:spacing w:after="0"/>
              <w:rPr>
                <w:sz w:val="19"/>
                <w:szCs w:val="19"/>
                <w:color w:val="auto"/>
              </w:rPr>
            </w:pPr>
          </w:p>
        </w:tc>
        <w:tc>
          <w:tcPr>
            <w:tcW w:w="170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1"/>
        </w:trPr>
        <w:tc>
          <w:tcPr>
            <w:tcW w:w="3400" w:type="dxa"/>
            <w:vAlign w:val="bottom"/>
          </w:tcPr>
          <w:p>
            <w:pPr>
              <w:ind w:left="20"/>
              <w:spacing w:after="0" w:line="171" w:lineRule="exact"/>
              <w:rPr>
                <w:sz w:val="20"/>
                <w:szCs w:val="20"/>
                <w:color w:val="auto"/>
              </w:rPr>
            </w:pPr>
            <w:r>
              <w:rPr>
                <w:rFonts w:ascii="Arial" w:cs="Arial" w:eastAsia="Arial" w:hAnsi="Arial"/>
                <w:sz w:val="17"/>
                <w:szCs w:val="17"/>
                <w:color w:val="auto"/>
                <w:w w:val="95"/>
              </w:rPr>
              <w:t>Compound embedded derivative with the Loan</w:t>
            </w:r>
          </w:p>
        </w:tc>
        <w:tc>
          <w:tcPr>
            <w:tcW w:w="180" w:type="dxa"/>
            <w:vAlign w:val="bottom"/>
          </w:tcPr>
          <w:p>
            <w:pPr>
              <w:spacing w:after="0"/>
              <w:rPr>
                <w:sz w:val="14"/>
                <w:szCs w:val="14"/>
                <w:color w:val="auto"/>
              </w:rPr>
            </w:pPr>
          </w:p>
        </w:tc>
        <w:tc>
          <w:tcPr>
            <w:tcW w:w="1800" w:type="dxa"/>
            <w:vAlign w:val="bottom"/>
            <w:gridSpan w:val="2"/>
            <w:vMerge w:val="restart"/>
          </w:tcPr>
          <w:p>
            <w:pPr>
              <w:jc w:val="right"/>
              <w:ind w:right="160"/>
              <w:spacing w:after="0"/>
              <w:rPr>
                <w:sz w:val="20"/>
                <w:szCs w:val="20"/>
                <w:color w:val="auto"/>
              </w:rPr>
            </w:pPr>
            <w:r>
              <w:rPr>
                <w:rFonts w:ascii="Arial" w:cs="Arial" w:eastAsia="Arial" w:hAnsi="Arial"/>
                <w:sz w:val="17"/>
                <w:szCs w:val="17"/>
                <w:color w:val="auto"/>
              </w:rPr>
              <w:t>—</w:t>
            </w:r>
          </w:p>
        </w:tc>
        <w:tc>
          <w:tcPr>
            <w:tcW w:w="180" w:type="dxa"/>
            <w:vAlign w:val="bottom"/>
          </w:tcPr>
          <w:p>
            <w:pPr>
              <w:spacing w:after="0"/>
              <w:rPr>
                <w:sz w:val="14"/>
                <w:szCs w:val="14"/>
                <w:color w:val="auto"/>
              </w:rPr>
            </w:pPr>
          </w:p>
        </w:tc>
        <w:tc>
          <w:tcPr>
            <w:tcW w:w="1820" w:type="dxa"/>
            <w:vAlign w:val="bottom"/>
            <w:gridSpan w:val="2"/>
            <w:vMerge w:val="restart"/>
          </w:tcPr>
          <w:p>
            <w:pPr>
              <w:jc w:val="right"/>
              <w:ind w:right="180"/>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4"/>
                <w:szCs w:val="14"/>
                <w:color w:val="auto"/>
              </w:rPr>
            </w:pPr>
          </w:p>
        </w:tc>
        <w:tc>
          <w:tcPr>
            <w:tcW w:w="1820" w:type="dxa"/>
            <w:vAlign w:val="bottom"/>
            <w:gridSpan w:val="2"/>
            <w:vMerge w:val="restart"/>
          </w:tcPr>
          <w:p>
            <w:pPr>
              <w:jc w:val="right"/>
              <w:ind w:right="180"/>
              <w:spacing w:after="0"/>
              <w:rPr>
                <w:sz w:val="20"/>
                <w:szCs w:val="20"/>
                <w:color w:val="auto"/>
              </w:rPr>
            </w:pPr>
            <w:r>
              <w:rPr>
                <w:rFonts w:ascii="Arial" w:cs="Arial" w:eastAsia="Arial" w:hAnsi="Arial"/>
                <w:sz w:val="17"/>
                <w:szCs w:val="17"/>
                <w:color w:val="auto"/>
              </w:rPr>
              <w:t>—</w:t>
            </w:r>
          </w:p>
        </w:tc>
        <w:tc>
          <w:tcPr>
            <w:tcW w:w="180" w:type="dxa"/>
            <w:vAlign w:val="bottom"/>
          </w:tcPr>
          <w:p>
            <w:pPr>
              <w:spacing w:after="0"/>
              <w:rPr>
                <w:sz w:val="14"/>
                <w:szCs w:val="14"/>
                <w:color w:val="auto"/>
              </w:rPr>
            </w:pPr>
          </w:p>
        </w:tc>
        <w:tc>
          <w:tcPr>
            <w:tcW w:w="1700" w:type="dxa"/>
            <w:vAlign w:val="bottom"/>
            <w:vMerge w:val="restart"/>
          </w:tcPr>
          <w:p>
            <w:pPr>
              <w:jc w:val="right"/>
              <w:spacing w:after="0"/>
              <w:rPr>
                <w:sz w:val="20"/>
                <w:szCs w:val="20"/>
                <w:color w:val="auto"/>
              </w:rPr>
            </w:pPr>
            <w:r>
              <w:rPr>
                <w:rFonts w:ascii="Arial" w:cs="Arial" w:eastAsia="Arial" w:hAnsi="Arial"/>
                <w:sz w:val="17"/>
                <w:szCs w:val="17"/>
                <w:color w:val="auto"/>
              </w:rPr>
              <w:t>212</w:t>
            </w:r>
          </w:p>
        </w:tc>
        <w:tc>
          <w:tcPr>
            <w:tcW w:w="0" w:type="dxa"/>
            <w:vAlign w:val="bottom"/>
          </w:tcPr>
          <w:p>
            <w:pPr>
              <w:spacing w:after="0"/>
              <w:rPr>
                <w:sz w:val="1"/>
                <w:szCs w:val="1"/>
                <w:color w:val="auto"/>
              </w:rPr>
            </w:pPr>
          </w:p>
        </w:tc>
      </w:tr>
      <w:tr>
        <w:trPr>
          <w:trHeight w:val="221"/>
        </w:trPr>
        <w:tc>
          <w:tcPr>
            <w:tcW w:w="3400" w:type="dxa"/>
            <w:vAlign w:val="bottom"/>
          </w:tcPr>
          <w:p>
            <w:pPr>
              <w:ind w:left="20"/>
              <w:spacing w:after="0"/>
              <w:rPr>
                <w:sz w:val="20"/>
                <w:szCs w:val="20"/>
                <w:color w:val="auto"/>
              </w:rPr>
            </w:pPr>
            <w:r>
              <w:rPr>
                <w:rFonts w:ascii="Arial" w:cs="Arial" w:eastAsia="Arial" w:hAnsi="Arial"/>
                <w:sz w:val="17"/>
                <w:szCs w:val="17"/>
                <w:color w:val="auto"/>
              </w:rPr>
              <w:t>Agreement with Thermo</w:t>
            </w:r>
          </w:p>
        </w:tc>
        <w:tc>
          <w:tcPr>
            <w:tcW w:w="180" w:type="dxa"/>
            <w:vAlign w:val="bottom"/>
          </w:tcPr>
          <w:p>
            <w:pPr>
              <w:spacing w:after="0"/>
              <w:rPr>
                <w:sz w:val="19"/>
                <w:szCs w:val="19"/>
                <w:color w:val="auto"/>
              </w:rPr>
            </w:pPr>
          </w:p>
        </w:tc>
        <w:tc>
          <w:tcPr>
            <w:tcW w:w="1800" w:type="dxa"/>
            <w:vAlign w:val="bottom"/>
            <w:gridSpan w:val="2"/>
            <w:vMerge w:val="continue"/>
          </w:tcPr>
          <w:p>
            <w:pPr>
              <w:spacing w:after="0"/>
              <w:rPr>
                <w:sz w:val="19"/>
                <w:szCs w:val="19"/>
                <w:color w:val="auto"/>
              </w:rPr>
            </w:pPr>
          </w:p>
        </w:tc>
        <w:tc>
          <w:tcPr>
            <w:tcW w:w="180" w:type="dxa"/>
            <w:vAlign w:val="bottom"/>
          </w:tcPr>
          <w:p>
            <w:pPr>
              <w:spacing w:after="0"/>
              <w:rPr>
                <w:sz w:val="19"/>
                <w:szCs w:val="19"/>
                <w:color w:val="auto"/>
              </w:rPr>
            </w:pPr>
          </w:p>
        </w:tc>
        <w:tc>
          <w:tcPr>
            <w:tcW w:w="1820" w:type="dxa"/>
            <w:vAlign w:val="bottom"/>
            <w:gridSpan w:val="2"/>
            <w:vMerge w:val="continue"/>
          </w:tcPr>
          <w:p>
            <w:pPr>
              <w:spacing w:after="0"/>
              <w:rPr>
                <w:sz w:val="19"/>
                <w:szCs w:val="19"/>
                <w:color w:val="auto"/>
              </w:rPr>
            </w:pPr>
          </w:p>
        </w:tc>
        <w:tc>
          <w:tcPr>
            <w:tcW w:w="160" w:type="dxa"/>
            <w:vAlign w:val="bottom"/>
          </w:tcPr>
          <w:p>
            <w:pPr>
              <w:spacing w:after="0"/>
              <w:rPr>
                <w:sz w:val="19"/>
                <w:szCs w:val="19"/>
                <w:color w:val="auto"/>
              </w:rPr>
            </w:pPr>
          </w:p>
        </w:tc>
        <w:tc>
          <w:tcPr>
            <w:tcW w:w="1820" w:type="dxa"/>
            <w:vAlign w:val="bottom"/>
            <w:gridSpan w:val="2"/>
            <w:vMerge w:val="continue"/>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71"/>
        </w:trPr>
        <w:tc>
          <w:tcPr>
            <w:tcW w:w="3400" w:type="dxa"/>
            <w:vAlign w:val="bottom"/>
            <w:shd w:val="clear" w:color="auto" w:fill="CCEEFF"/>
          </w:tcPr>
          <w:p>
            <w:pPr>
              <w:ind w:left="20"/>
              <w:spacing w:after="0" w:line="171" w:lineRule="exact"/>
              <w:rPr>
                <w:sz w:val="20"/>
                <w:szCs w:val="20"/>
                <w:color w:val="auto"/>
              </w:rPr>
            </w:pPr>
            <w:r>
              <w:rPr>
                <w:rFonts w:ascii="Arial" w:cs="Arial" w:eastAsia="Arial" w:hAnsi="Arial"/>
                <w:sz w:val="17"/>
                <w:szCs w:val="17"/>
                <w:color w:val="auto"/>
              </w:rPr>
              <w:t>Compound embedded derivative with the</w:t>
            </w:r>
          </w:p>
        </w:tc>
        <w:tc>
          <w:tcPr>
            <w:tcW w:w="180" w:type="dxa"/>
            <w:vAlign w:val="bottom"/>
            <w:shd w:val="clear" w:color="auto" w:fill="CCEEFF"/>
          </w:tcPr>
          <w:p>
            <w:pPr>
              <w:spacing w:after="0"/>
              <w:rPr>
                <w:sz w:val="14"/>
                <w:szCs w:val="14"/>
                <w:color w:val="auto"/>
              </w:rPr>
            </w:pPr>
          </w:p>
        </w:tc>
        <w:tc>
          <w:tcPr>
            <w:tcW w:w="170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(55)</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7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1,128</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7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327</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70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988</w:t>
            </w:r>
          </w:p>
        </w:tc>
        <w:tc>
          <w:tcPr>
            <w:tcW w:w="0" w:type="dxa"/>
            <w:vAlign w:val="bottom"/>
          </w:tcPr>
          <w:p>
            <w:pPr>
              <w:spacing w:after="0"/>
              <w:rPr>
                <w:sz w:val="1"/>
                <w:szCs w:val="1"/>
                <w:color w:val="auto"/>
              </w:rPr>
            </w:pPr>
          </w:p>
        </w:tc>
      </w:tr>
      <w:tr>
        <w:trPr>
          <w:trHeight w:val="221"/>
        </w:trPr>
        <w:tc>
          <w:tcPr>
            <w:tcW w:w="3400" w:type="dxa"/>
            <w:vAlign w:val="bottom"/>
            <w:shd w:val="clear" w:color="auto" w:fill="CCEEFF"/>
          </w:tcPr>
          <w:p>
            <w:pPr>
              <w:ind w:left="20"/>
              <w:spacing w:after="0"/>
              <w:rPr>
                <w:sz w:val="20"/>
                <w:szCs w:val="20"/>
                <w:color w:val="auto"/>
              </w:rPr>
            </w:pPr>
            <w:r>
              <w:rPr>
                <w:rFonts w:ascii="Arial" w:cs="Arial" w:eastAsia="Arial" w:hAnsi="Arial"/>
                <w:sz w:val="17"/>
                <w:szCs w:val="17"/>
                <w:color w:val="auto"/>
              </w:rPr>
              <w:t>Second Lien Facility Agreement</w:t>
            </w:r>
          </w:p>
        </w:tc>
        <w:tc>
          <w:tcPr>
            <w:tcW w:w="18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7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7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3400" w:type="dxa"/>
            <w:vAlign w:val="bottom"/>
          </w:tcPr>
          <w:p>
            <w:pPr>
              <w:ind w:left="220"/>
              <w:spacing w:after="0"/>
              <w:rPr>
                <w:sz w:val="20"/>
                <w:szCs w:val="20"/>
                <w:color w:val="auto"/>
              </w:rPr>
            </w:pPr>
            <w:r>
              <w:rPr>
                <w:rFonts w:ascii="Arial" w:cs="Arial" w:eastAsia="Arial" w:hAnsi="Arial"/>
                <w:sz w:val="17"/>
                <w:szCs w:val="17"/>
                <w:color w:val="auto"/>
              </w:rPr>
              <w:t>Total derivative loss (gain)</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229</w:t>
            </w:r>
          </w:p>
        </w:tc>
        <w:tc>
          <w:tcPr>
            <w:tcW w:w="10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1,225</w:t>
            </w:r>
          </w:p>
        </w:tc>
        <w:tc>
          <w:tcPr>
            <w:tcW w:w="1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(2,210)</w:t>
            </w:r>
          </w:p>
        </w:tc>
        <w:tc>
          <w:tcPr>
            <w:tcW w:w="10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1,564</w:t>
            </w:r>
          </w:p>
        </w:tc>
        <w:tc>
          <w:tcPr>
            <w:tcW w:w="0" w:type="dxa"/>
            <w:vAlign w:val="bottom"/>
          </w:tcPr>
          <w:p>
            <w:pPr>
              <w:spacing w:after="0"/>
              <w:rPr>
                <w:sz w:val="1"/>
                <w:szCs w:val="1"/>
                <w:color w:val="auto"/>
              </w:rPr>
            </w:pPr>
          </w:p>
        </w:tc>
      </w:tr>
      <w:tr>
        <w:trPr>
          <w:trHeight w:val="20"/>
        </w:trPr>
        <w:tc>
          <w:tcPr>
            <w:tcW w:w="34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1" w:lineRule="exact"/>
        <w:rPr>
          <w:sz w:val="20"/>
          <w:szCs w:val="20"/>
          <w:color w:val="auto"/>
        </w:rPr>
      </w:pPr>
    </w:p>
    <w:p>
      <w:pPr>
        <w:jc w:val="both"/>
        <w:ind w:firstLine="274"/>
        <w:spacing w:after="0" w:line="251" w:lineRule="auto"/>
        <w:rPr>
          <w:sz w:val="20"/>
          <w:szCs w:val="20"/>
          <w:color w:val="auto"/>
        </w:rPr>
      </w:pPr>
      <w:r>
        <w:rPr>
          <w:rFonts w:ascii="Arial" w:cs="Arial" w:eastAsia="Arial" w:hAnsi="Arial"/>
          <w:sz w:val="17"/>
          <w:szCs w:val="17"/>
          <w:color w:val="auto"/>
        </w:rPr>
        <w:t>The fair value of each embedded derivative liability is marked-to-market at the end of each reporting period, or more frequently as deemed necessary, with any changes in value reported in its condensed consolidated statements of operations and its condensed consolidated statements of cash flows as an operating activity. The Company classifies its derivatives consistent with the classification of the underlying debt on the Company's condensed consolidated balance sheet. See Note 7: Fair Value Measurements for further discussion.</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7. FAIR VALUE MEASUREMENTS</w:t>
      </w:r>
    </w:p>
    <w:p>
      <w:pPr>
        <w:spacing w:after="0" w:line="255" w:lineRule="exact"/>
        <w:rPr>
          <w:sz w:val="20"/>
          <w:szCs w:val="20"/>
          <w:color w:val="auto"/>
        </w:rPr>
      </w:pPr>
    </w:p>
    <w:p>
      <w:pPr>
        <w:jc w:val="both"/>
        <w:ind w:firstLine="314"/>
        <w:spacing w:after="0" w:line="267" w:lineRule="auto"/>
        <w:rPr>
          <w:sz w:val="20"/>
          <w:szCs w:val="20"/>
          <w:color w:val="auto"/>
        </w:rPr>
      </w:pPr>
      <w:r>
        <w:rPr>
          <w:rFonts w:ascii="Arial" w:cs="Arial" w:eastAsia="Arial" w:hAnsi="Arial"/>
          <w:sz w:val="17"/>
          <w:szCs w:val="17"/>
          <w:color w:val="auto"/>
        </w:rPr>
        <w:t>The Company follows the authoritative guidance for fair value measurements relating to financial and non-financial assets and liabilities, including presentation of required disclosures herein. This guidance establishes a fair value framework requiring the categorization of assets and liabilities into three levels based upon the assumptions (inputs) used to price the assets and liabilities. Level 1 provides the most reliable measure of fair value, whereas Level 3 generally requires significant management judgment. The three levels are defined as follows:</w:t>
      </w:r>
    </w:p>
    <w:p>
      <w:pPr>
        <w:spacing w:after="0" w:line="202" w:lineRule="exact"/>
        <w:rPr>
          <w:sz w:val="20"/>
          <w:szCs w:val="20"/>
          <w:color w:val="auto"/>
        </w:rPr>
      </w:pPr>
    </w:p>
    <w:p>
      <w:pPr>
        <w:ind w:left="320"/>
        <w:spacing w:after="0"/>
        <w:rPr>
          <w:sz w:val="20"/>
          <w:szCs w:val="20"/>
          <w:color w:val="auto"/>
        </w:rPr>
      </w:pPr>
      <w:r>
        <w:rPr>
          <w:rFonts w:ascii="Arial" w:cs="Arial" w:eastAsia="Arial" w:hAnsi="Arial"/>
          <w:sz w:val="17"/>
          <w:szCs w:val="17"/>
          <w:i w:val="1"/>
          <w:iCs w:val="1"/>
          <w:color w:val="auto"/>
        </w:rPr>
        <w:t xml:space="preserve">Level 1: </w:t>
      </w:r>
      <w:r>
        <w:rPr>
          <w:rFonts w:ascii="Arial" w:cs="Arial" w:eastAsia="Arial" w:hAnsi="Arial"/>
          <w:sz w:val="17"/>
          <w:szCs w:val="17"/>
          <w:color w:val="auto"/>
        </w:rPr>
        <w:t>Unadjusted quoted prices in active markets that are accessible at the measurement date for identical assets or liabilities.</w:t>
      </w:r>
    </w:p>
    <w:p>
      <w:pPr>
        <w:spacing w:after="0" w:line="249" w:lineRule="exact"/>
        <w:rPr>
          <w:sz w:val="20"/>
          <w:szCs w:val="20"/>
          <w:color w:val="auto"/>
        </w:rPr>
      </w:pPr>
    </w:p>
    <w:p>
      <w:pPr>
        <w:ind w:left="320"/>
        <w:spacing w:after="0" w:line="288" w:lineRule="auto"/>
        <w:rPr>
          <w:sz w:val="20"/>
          <w:szCs w:val="20"/>
          <w:color w:val="auto"/>
        </w:rPr>
      </w:pPr>
      <w:r>
        <w:rPr>
          <w:rFonts w:ascii="Arial" w:cs="Arial" w:eastAsia="Arial" w:hAnsi="Arial"/>
          <w:sz w:val="17"/>
          <w:szCs w:val="17"/>
          <w:i w:val="1"/>
          <w:iCs w:val="1"/>
          <w:color w:val="auto"/>
        </w:rPr>
        <w:t xml:space="preserve">Level 2: </w:t>
      </w:r>
      <w:r>
        <w:rPr>
          <w:rFonts w:ascii="Arial" w:cs="Arial" w:eastAsia="Arial" w:hAnsi="Arial"/>
          <w:sz w:val="17"/>
          <w:szCs w:val="17"/>
          <w:color w:val="auto"/>
        </w:rPr>
        <w:t>Quoted prices in markets that are not active or inputs which are observable, either directly or indirectly, for substantially the full term of the asset or</w:t>
      </w:r>
      <w:r>
        <w:rPr>
          <w:rFonts w:ascii="Arial" w:cs="Arial" w:eastAsia="Arial" w:hAnsi="Arial"/>
          <w:sz w:val="17"/>
          <w:szCs w:val="17"/>
          <w:i w:val="1"/>
          <w:iCs w:val="1"/>
          <w:color w:val="auto"/>
        </w:rPr>
        <w:t xml:space="preserve"> </w:t>
      </w:r>
      <w:r>
        <w:rPr>
          <w:rFonts w:ascii="Arial" w:cs="Arial" w:eastAsia="Arial" w:hAnsi="Arial"/>
          <w:sz w:val="17"/>
          <w:szCs w:val="17"/>
          <w:color w:val="auto"/>
        </w:rPr>
        <w:t>liability.</w:t>
      </w:r>
    </w:p>
    <w:p>
      <w:pPr>
        <w:spacing w:after="0" w:line="184" w:lineRule="exact"/>
        <w:rPr>
          <w:sz w:val="20"/>
          <w:szCs w:val="20"/>
          <w:color w:val="auto"/>
        </w:rPr>
      </w:pPr>
    </w:p>
    <w:p>
      <w:pPr>
        <w:ind w:left="320"/>
        <w:spacing w:after="0" w:line="288" w:lineRule="auto"/>
        <w:rPr>
          <w:sz w:val="20"/>
          <w:szCs w:val="20"/>
          <w:color w:val="auto"/>
        </w:rPr>
      </w:pPr>
      <w:r>
        <w:rPr>
          <w:rFonts w:ascii="Arial" w:cs="Arial" w:eastAsia="Arial" w:hAnsi="Arial"/>
          <w:sz w:val="17"/>
          <w:szCs w:val="17"/>
          <w:i w:val="1"/>
          <w:iCs w:val="1"/>
          <w:color w:val="auto"/>
        </w:rPr>
        <w:t xml:space="preserve">Level 3: </w:t>
      </w:r>
      <w:r>
        <w:rPr>
          <w:rFonts w:ascii="Arial" w:cs="Arial" w:eastAsia="Arial" w:hAnsi="Arial"/>
          <w:sz w:val="17"/>
          <w:szCs w:val="17"/>
          <w:color w:val="auto"/>
        </w:rPr>
        <w:t>Prices or valuation techniques that require inputs that are both significant to the fair value measurement and unobservable (i.e., supported by little</w:t>
      </w:r>
      <w:r>
        <w:rPr>
          <w:rFonts w:ascii="Arial" w:cs="Arial" w:eastAsia="Arial" w:hAnsi="Arial"/>
          <w:sz w:val="17"/>
          <w:szCs w:val="17"/>
          <w:i w:val="1"/>
          <w:iCs w:val="1"/>
          <w:color w:val="auto"/>
        </w:rPr>
        <w:t xml:space="preserve"> </w:t>
      </w:r>
      <w:r>
        <w:rPr>
          <w:rFonts w:ascii="Arial" w:cs="Arial" w:eastAsia="Arial" w:hAnsi="Arial"/>
          <w:sz w:val="17"/>
          <w:szCs w:val="17"/>
          <w:color w:val="auto"/>
        </w:rPr>
        <w:t>or no market activity).</w:t>
      </w: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19" w:name="page20"/>
    <w:bookmarkEnd w:id="19"/>
    <w:p>
      <w:pPr>
        <w:ind w:firstLine="314"/>
        <w:spacing w:after="0" w:line="321" w:lineRule="auto"/>
        <w:rPr>
          <w:sz w:val="20"/>
          <w:szCs w:val="20"/>
          <w:color w:val="auto"/>
        </w:rPr>
      </w:pPr>
      <w:r>
        <w:rPr>
          <w:rFonts w:ascii="Arial" w:cs="Arial" w:eastAsia="Arial" w:hAnsi="Arial"/>
          <w:sz w:val="16"/>
          <w:szCs w:val="16"/>
          <w:color w:val="auto"/>
        </w:rPr>
        <w:t>All of the Company's derivative assets and liabilities are classified as Level 3. The Company marks-to-market these assets and liabilities at each reporting date, or more frequently as deemed necessary, with the changes in fair value recognized in the Company’s condensed consolidated statements of operations.</w:t>
      </w:r>
    </w:p>
    <w:p>
      <w:pPr>
        <w:spacing w:after="0" w:line="16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Recurring Fair Value Measurements</w:t>
      </w:r>
    </w:p>
    <w:p>
      <w:pPr>
        <w:spacing w:after="0" w:line="249" w:lineRule="exact"/>
        <w:rPr>
          <w:sz w:val="20"/>
          <w:szCs w:val="20"/>
          <w:color w:val="auto"/>
        </w:rPr>
      </w:pPr>
    </w:p>
    <w:p>
      <w:pPr>
        <w:ind w:left="320"/>
        <w:spacing w:after="0"/>
        <w:rPr>
          <w:sz w:val="20"/>
          <w:szCs w:val="20"/>
          <w:color w:val="auto"/>
        </w:rPr>
      </w:pPr>
      <w:r>
        <w:rPr>
          <w:rFonts w:ascii="Arial" w:cs="Arial" w:eastAsia="Arial" w:hAnsi="Arial"/>
          <w:sz w:val="17"/>
          <w:szCs w:val="17"/>
          <w:color w:val="auto"/>
        </w:rPr>
        <w:t>The following tables provide a summary of the assets and liabilities measured at fair value on a recurring basis (in thousands):</w:t>
      </w:r>
    </w:p>
    <w:p>
      <w:pPr>
        <w:spacing w:after="0" w:line="53" w:lineRule="exact"/>
        <w:rPr>
          <w:sz w:val="20"/>
          <w:szCs w:val="20"/>
          <w:color w:val="auto"/>
        </w:rPr>
      </w:pPr>
    </w:p>
    <w:p>
      <w:pPr>
        <w:ind w:left="7540"/>
        <w:spacing w:after="0"/>
        <w:rPr>
          <w:sz w:val="20"/>
          <w:szCs w:val="20"/>
          <w:color w:val="auto"/>
        </w:rPr>
      </w:pPr>
      <w:r>
        <w:rPr>
          <w:rFonts w:ascii="Arial" w:cs="Arial" w:eastAsia="Arial" w:hAnsi="Arial"/>
          <w:sz w:val="17"/>
          <w:szCs w:val="17"/>
          <w:color w:val="auto"/>
        </w:rPr>
        <w:t>September 30, 2021</w:t>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40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60" w:type="dxa"/>
            <w:vAlign w:val="bottom"/>
            <w:tcBorders>
              <w:top w:val="single" w:sz="8" w:color="auto"/>
            </w:tcBorders>
          </w:tcPr>
          <w:p>
            <w:pPr>
              <w:spacing w:after="0"/>
              <w:rPr>
                <w:sz w:val="14"/>
                <w:szCs w:val="14"/>
                <w:color w:val="auto"/>
              </w:rPr>
            </w:pPr>
          </w:p>
        </w:tc>
        <w:tc>
          <w:tcPr>
            <w:tcW w:w="40" w:type="dxa"/>
            <w:vAlign w:val="bottom"/>
            <w:tcBorders>
              <w:top w:val="single" w:sz="8" w:color="auto"/>
            </w:tcBorders>
          </w:tcPr>
          <w:p>
            <w:pPr>
              <w:spacing w:after="0"/>
              <w:rPr>
                <w:sz w:val="14"/>
                <w:szCs w:val="14"/>
                <w:color w:val="auto"/>
              </w:rPr>
            </w:pPr>
          </w:p>
        </w:tc>
        <w:tc>
          <w:tcPr>
            <w:tcW w:w="60" w:type="dxa"/>
            <w:vAlign w:val="bottom"/>
            <w:tcBorders>
              <w:top w:val="single" w:sz="8" w:color="auto"/>
            </w:tcBorders>
          </w:tcPr>
          <w:p>
            <w:pPr>
              <w:spacing w:after="0"/>
              <w:rPr>
                <w:sz w:val="14"/>
                <w:szCs w:val="14"/>
                <w:color w:val="auto"/>
              </w:rPr>
            </w:pPr>
          </w:p>
        </w:tc>
        <w:tc>
          <w:tcPr>
            <w:tcW w:w="1280" w:type="dxa"/>
            <w:vAlign w:val="bottom"/>
            <w:tcBorders>
              <w:top w:val="single" w:sz="8" w:color="auto"/>
            </w:tcBorders>
            <w:gridSpan w:val="2"/>
            <w:vMerge w:val="restart"/>
          </w:tcPr>
          <w:p>
            <w:pPr>
              <w:ind w:left="140"/>
              <w:spacing w:after="0"/>
              <w:rPr>
                <w:sz w:val="20"/>
                <w:szCs w:val="20"/>
                <w:color w:val="auto"/>
              </w:rPr>
            </w:pPr>
            <w:r>
              <w:rPr>
                <w:rFonts w:ascii="Arial" w:cs="Arial" w:eastAsia="Arial" w:hAnsi="Arial"/>
                <w:sz w:val="17"/>
                <w:szCs w:val="17"/>
                <w:color w:val="auto"/>
              </w:rPr>
              <w:t>(Level 1)</w:t>
            </w:r>
          </w:p>
        </w:tc>
        <w:tc>
          <w:tcPr>
            <w:tcW w:w="100" w:type="dxa"/>
            <w:vAlign w:val="bottom"/>
            <w:tcBorders>
              <w:top w:val="single" w:sz="8" w:color="auto"/>
            </w:tcBorders>
          </w:tcPr>
          <w:p>
            <w:pPr>
              <w:spacing w:after="0"/>
              <w:rPr>
                <w:sz w:val="14"/>
                <w:szCs w:val="14"/>
                <w:color w:val="auto"/>
              </w:rPr>
            </w:pPr>
          </w:p>
        </w:tc>
        <w:tc>
          <w:tcPr>
            <w:tcW w:w="40" w:type="dxa"/>
            <w:vAlign w:val="bottom"/>
            <w:tcBorders>
              <w:top w:val="single" w:sz="8" w:color="auto"/>
            </w:tcBorders>
          </w:tcPr>
          <w:p>
            <w:pPr>
              <w:spacing w:after="0"/>
              <w:rPr>
                <w:sz w:val="14"/>
                <w:szCs w:val="14"/>
                <w:color w:val="auto"/>
              </w:rPr>
            </w:pPr>
          </w:p>
        </w:tc>
        <w:tc>
          <w:tcPr>
            <w:tcW w:w="60" w:type="dxa"/>
            <w:vAlign w:val="bottom"/>
            <w:tcBorders>
              <w:top w:val="single" w:sz="8" w:color="auto"/>
            </w:tcBorders>
          </w:tcPr>
          <w:p>
            <w:pPr>
              <w:spacing w:after="0"/>
              <w:rPr>
                <w:sz w:val="14"/>
                <w:szCs w:val="14"/>
                <w:color w:val="auto"/>
              </w:rPr>
            </w:pPr>
          </w:p>
        </w:tc>
        <w:tc>
          <w:tcPr>
            <w:tcW w:w="40" w:type="dxa"/>
            <w:vAlign w:val="bottom"/>
            <w:tcBorders>
              <w:top w:val="single" w:sz="8" w:color="auto"/>
            </w:tcBorders>
          </w:tcPr>
          <w:p>
            <w:pPr>
              <w:spacing w:after="0"/>
              <w:rPr>
                <w:sz w:val="14"/>
                <w:szCs w:val="14"/>
                <w:color w:val="auto"/>
              </w:rPr>
            </w:pPr>
          </w:p>
        </w:tc>
        <w:tc>
          <w:tcPr>
            <w:tcW w:w="1280" w:type="dxa"/>
            <w:vAlign w:val="bottom"/>
            <w:tcBorders>
              <w:top w:val="single" w:sz="8" w:color="auto"/>
            </w:tcBorders>
            <w:gridSpan w:val="3"/>
            <w:vMerge w:val="restart"/>
          </w:tcPr>
          <w:p>
            <w:pPr>
              <w:ind w:left="160"/>
              <w:spacing w:after="0"/>
              <w:rPr>
                <w:sz w:val="20"/>
                <w:szCs w:val="20"/>
                <w:color w:val="auto"/>
              </w:rPr>
            </w:pPr>
            <w:r>
              <w:rPr>
                <w:rFonts w:ascii="Arial" w:cs="Arial" w:eastAsia="Arial" w:hAnsi="Arial"/>
                <w:sz w:val="17"/>
                <w:szCs w:val="17"/>
                <w:color w:val="auto"/>
              </w:rPr>
              <w:t>(Level 2)</w:t>
            </w:r>
          </w:p>
        </w:tc>
        <w:tc>
          <w:tcPr>
            <w:tcW w:w="20" w:type="dxa"/>
            <w:vAlign w:val="bottom"/>
            <w:tcBorders>
              <w:top w:val="single" w:sz="8" w:color="auto"/>
            </w:tcBorders>
          </w:tcPr>
          <w:p>
            <w:pPr>
              <w:spacing w:after="0"/>
              <w:rPr>
                <w:sz w:val="14"/>
                <w:szCs w:val="14"/>
                <w:color w:val="auto"/>
              </w:rPr>
            </w:pPr>
          </w:p>
        </w:tc>
        <w:tc>
          <w:tcPr>
            <w:tcW w:w="60" w:type="dxa"/>
            <w:vAlign w:val="bottom"/>
            <w:tcBorders>
              <w:top w:val="single" w:sz="8" w:color="auto"/>
            </w:tcBorders>
          </w:tcPr>
          <w:p>
            <w:pPr>
              <w:spacing w:after="0"/>
              <w:rPr>
                <w:sz w:val="14"/>
                <w:szCs w:val="14"/>
                <w:color w:val="auto"/>
              </w:rPr>
            </w:pPr>
          </w:p>
        </w:tc>
        <w:tc>
          <w:tcPr>
            <w:tcW w:w="40" w:type="dxa"/>
            <w:vAlign w:val="bottom"/>
            <w:tcBorders>
              <w:top w:val="single" w:sz="8" w:color="auto"/>
            </w:tcBorders>
          </w:tcPr>
          <w:p>
            <w:pPr>
              <w:spacing w:after="0"/>
              <w:rPr>
                <w:sz w:val="14"/>
                <w:szCs w:val="14"/>
                <w:color w:val="auto"/>
              </w:rPr>
            </w:pPr>
          </w:p>
        </w:tc>
        <w:tc>
          <w:tcPr>
            <w:tcW w:w="1440" w:type="dxa"/>
            <w:vAlign w:val="bottom"/>
            <w:tcBorders>
              <w:top w:val="single" w:sz="8" w:color="auto"/>
            </w:tcBorders>
            <w:gridSpan w:val="4"/>
            <w:vMerge w:val="restart"/>
          </w:tcPr>
          <w:p>
            <w:pPr>
              <w:ind w:left="280"/>
              <w:spacing w:after="0"/>
              <w:rPr>
                <w:sz w:val="20"/>
                <w:szCs w:val="20"/>
                <w:color w:val="auto"/>
              </w:rPr>
            </w:pPr>
            <w:r>
              <w:rPr>
                <w:rFonts w:ascii="Arial" w:cs="Arial" w:eastAsia="Arial" w:hAnsi="Arial"/>
                <w:sz w:val="17"/>
                <w:szCs w:val="17"/>
                <w:color w:val="auto"/>
              </w:rPr>
              <w:t>(Level 3)</w:t>
            </w:r>
          </w:p>
        </w:tc>
        <w:tc>
          <w:tcPr>
            <w:tcW w:w="60" w:type="dxa"/>
            <w:vAlign w:val="bottom"/>
            <w:tcBorders>
              <w:top w:val="single" w:sz="8" w:color="auto"/>
            </w:tcBorders>
          </w:tcPr>
          <w:p>
            <w:pPr>
              <w:spacing w:after="0"/>
              <w:rPr>
                <w:sz w:val="14"/>
                <w:szCs w:val="14"/>
                <w:color w:val="auto"/>
              </w:rPr>
            </w:pPr>
          </w:p>
        </w:tc>
        <w:tc>
          <w:tcPr>
            <w:tcW w:w="40" w:type="dxa"/>
            <w:vAlign w:val="bottom"/>
            <w:tcBorders>
              <w:top w:val="single" w:sz="8" w:color="auto"/>
            </w:tcBorders>
          </w:tcPr>
          <w:p>
            <w:pPr>
              <w:spacing w:after="0"/>
              <w:rPr>
                <w:sz w:val="14"/>
                <w:szCs w:val="14"/>
                <w:color w:val="auto"/>
              </w:rPr>
            </w:pPr>
          </w:p>
        </w:tc>
        <w:tc>
          <w:tcPr>
            <w:tcW w:w="1300" w:type="dxa"/>
            <w:vAlign w:val="bottom"/>
            <w:tcBorders>
              <w:top w:val="single" w:sz="8" w:color="auto"/>
            </w:tcBorders>
            <w:gridSpan w:val="2"/>
          </w:tcPr>
          <w:p>
            <w:pPr>
              <w:jc w:val="center"/>
              <w:ind w:right="120"/>
              <w:spacing w:after="0" w:line="164" w:lineRule="exact"/>
              <w:rPr>
                <w:sz w:val="20"/>
                <w:szCs w:val="20"/>
                <w:color w:val="auto"/>
              </w:rPr>
            </w:pPr>
            <w:r>
              <w:rPr>
                <w:rFonts w:ascii="Arial" w:cs="Arial" w:eastAsia="Arial" w:hAnsi="Arial"/>
                <w:sz w:val="17"/>
                <w:szCs w:val="17"/>
                <w:color w:val="auto"/>
                <w:w w:val="89"/>
              </w:rPr>
              <w:t>Total</w:t>
            </w:r>
          </w:p>
        </w:tc>
        <w:tc>
          <w:tcPr>
            <w:tcW w:w="0" w:type="dxa"/>
            <w:vAlign w:val="bottom"/>
          </w:tcPr>
          <w:p>
            <w:pPr>
              <w:spacing w:after="0"/>
              <w:rPr>
                <w:sz w:val="1"/>
                <w:szCs w:val="1"/>
                <w:color w:val="auto"/>
              </w:rPr>
            </w:pPr>
          </w:p>
        </w:tc>
      </w:tr>
      <w:tr>
        <w:trPr>
          <w:trHeight w:val="221"/>
        </w:trPr>
        <w:tc>
          <w:tcPr>
            <w:tcW w:w="40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8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80" w:type="dxa"/>
            <w:vAlign w:val="bottom"/>
            <w:gridSpan w:val="3"/>
            <w:vMerge w:val="continue"/>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40" w:type="dxa"/>
            <w:vAlign w:val="bottom"/>
            <w:gridSpan w:val="4"/>
            <w:vMerge w:val="continue"/>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300" w:type="dxa"/>
            <w:vAlign w:val="bottom"/>
            <w:gridSpan w:val="2"/>
          </w:tcPr>
          <w:p>
            <w:pPr>
              <w:jc w:val="center"/>
              <w:ind w:right="60"/>
              <w:spacing w:after="0"/>
              <w:rPr>
                <w:sz w:val="20"/>
                <w:szCs w:val="20"/>
                <w:color w:val="auto"/>
              </w:rPr>
            </w:pPr>
            <w:r>
              <w:rPr>
                <w:rFonts w:ascii="Arial" w:cs="Arial" w:eastAsia="Arial" w:hAnsi="Arial"/>
                <w:sz w:val="17"/>
                <w:szCs w:val="17"/>
                <w:color w:val="auto"/>
                <w:w w:val="91"/>
              </w:rPr>
              <w:t>Balance</w:t>
            </w:r>
          </w:p>
        </w:tc>
        <w:tc>
          <w:tcPr>
            <w:tcW w:w="0" w:type="dxa"/>
            <w:vAlign w:val="bottom"/>
          </w:tcPr>
          <w:p>
            <w:pPr>
              <w:spacing w:after="0"/>
              <w:rPr>
                <w:sz w:val="1"/>
                <w:szCs w:val="1"/>
                <w:color w:val="auto"/>
              </w:rPr>
            </w:pPr>
          </w:p>
        </w:tc>
      </w:tr>
      <w:tr>
        <w:trPr>
          <w:trHeight w:val="215"/>
        </w:trPr>
        <w:tc>
          <w:tcPr>
            <w:tcW w:w="4340" w:type="dxa"/>
            <w:vAlign w:val="bottom"/>
            <w:tcBorders>
              <w:top w:val="single" w:sz="8" w:color="CCEEFF"/>
            </w:tcBorders>
            <w:gridSpan w:val="3"/>
            <w:shd w:val="clear" w:color="auto" w:fill="CCEEFF"/>
          </w:tcPr>
          <w:p>
            <w:pPr>
              <w:ind w:left="20"/>
              <w:spacing w:after="0"/>
              <w:rPr>
                <w:sz w:val="20"/>
                <w:szCs w:val="20"/>
                <w:color w:val="auto"/>
              </w:rPr>
            </w:pPr>
            <w:r>
              <w:rPr>
                <w:rFonts w:ascii="Arial" w:cs="Arial" w:eastAsia="Arial" w:hAnsi="Arial"/>
                <w:sz w:val="17"/>
                <w:szCs w:val="17"/>
                <w:color w:val="auto"/>
              </w:rPr>
              <w:t>Assets:</w:t>
            </w:r>
          </w:p>
        </w:tc>
        <w:tc>
          <w:tcPr>
            <w:tcW w:w="9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auto"/>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auto"/>
            </w:tcBorders>
            <w:shd w:val="clear" w:color="auto" w:fill="CCEEFF"/>
          </w:tcPr>
          <w:p>
            <w:pPr>
              <w:spacing w:after="0"/>
              <w:rPr>
                <w:sz w:val="18"/>
                <w:szCs w:val="18"/>
                <w:color w:val="auto"/>
              </w:rPr>
            </w:pPr>
          </w:p>
        </w:tc>
        <w:tc>
          <w:tcPr>
            <w:tcW w:w="126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71"/>
        </w:trPr>
        <w:tc>
          <w:tcPr>
            <w:tcW w:w="5480" w:type="dxa"/>
            <w:vAlign w:val="bottom"/>
            <w:gridSpan w:val="8"/>
          </w:tcPr>
          <w:p>
            <w:pPr>
              <w:ind w:left="120"/>
              <w:spacing w:after="0" w:line="171" w:lineRule="exact"/>
              <w:rPr>
                <w:sz w:val="20"/>
                <w:szCs w:val="20"/>
                <w:color w:val="auto"/>
              </w:rPr>
            </w:pPr>
            <w:r>
              <w:rPr>
                <w:rFonts w:ascii="Arial" w:cs="Arial" w:eastAsia="Arial" w:hAnsi="Arial"/>
                <w:sz w:val="17"/>
                <w:szCs w:val="17"/>
                <w:color w:val="auto"/>
              </w:rPr>
              <w:t>Compound embedded derivative with the Second Lien Facility</w:t>
            </w:r>
          </w:p>
        </w:tc>
        <w:tc>
          <w:tcPr>
            <w:tcW w:w="1180" w:type="dxa"/>
            <w:vAlign w:val="bottom"/>
            <w:vMerge w:val="restart"/>
          </w:tcPr>
          <w:p>
            <w:pPr>
              <w:ind w:left="940"/>
              <w:spacing w:after="0"/>
              <w:rPr>
                <w:sz w:val="20"/>
                <w:szCs w:val="20"/>
                <w:color w:val="auto"/>
              </w:rPr>
            </w:pPr>
            <w:r>
              <w:rPr>
                <w:rFonts w:ascii="Arial" w:cs="Arial" w:eastAsia="Arial" w:hAnsi="Arial"/>
                <w:sz w:val="17"/>
                <w:szCs w:val="17"/>
                <w:color w:val="auto"/>
              </w:rPr>
              <w:t>—</w:t>
            </w:r>
          </w:p>
        </w:tc>
        <w:tc>
          <w:tcPr>
            <w:tcW w:w="100" w:type="dxa"/>
            <w:vAlign w:val="bottom"/>
            <w:vMerge w:val="restart"/>
          </w:tcPr>
          <w:p>
            <w:pPr>
              <w:spacing w:after="0"/>
              <w:rPr>
                <w:sz w:val="14"/>
                <w:szCs w:val="14"/>
                <w:color w:val="auto"/>
              </w:rPr>
            </w:pPr>
          </w:p>
        </w:tc>
        <w:tc>
          <w:tcPr>
            <w:tcW w:w="140" w:type="dxa"/>
            <w:vAlign w:val="bottom"/>
            <w:gridSpan w:val="2"/>
            <w:vMerge w:val="restart"/>
          </w:tcPr>
          <w:p>
            <w:pPr>
              <w:jc w:val="right"/>
              <w:ind w:right="40"/>
              <w:spacing w:after="0"/>
              <w:rPr>
                <w:sz w:val="20"/>
                <w:szCs w:val="20"/>
                <w:color w:val="auto"/>
              </w:rPr>
            </w:pPr>
            <w:r>
              <w:rPr>
                <w:rFonts w:ascii="Arial" w:cs="Arial" w:eastAsia="Arial" w:hAnsi="Arial"/>
                <w:sz w:val="17"/>
                <w:szCs w:val="17"/>
                <w:color w:val="auto"/>
                <w:w w:val="84"/>
              </w:rPr>
              <w:t>$</w:t>
            </w: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180" w:type="dxa"/>
            <w:vAlign w:val="bottom"/>
            <w:vMerge w:val="restart"/>
          </w:tcPr>
          <w:p>
            <w:pPr>
              <w:jc w:val="center"/>
              <w:ind w:left="793"/>
              <w:spacing w:after="0"/>
              <w:rPr>
                <w:sz w:val="20"/>
                <w:szCs w:val="20"/>
                <w:color w:val="auto"/>
              </w:rPr>
            </w:pPr>
            <w:r>
              <w:rPr>
                <w:rFonts w:ascii="Arial" w:cs="Arial" w:eastAsia="Arial" w:hAnsi="Arial"/>
                <w:sz w:val="17"/>
                <w:szCs w:val="17"/>
                <w:color w:val="auto"/>
              </w:rPr>
              <w:t>—</w:t>
            </w:r>
          </w:p>
        </w:tc>
        <w:tc>
          <w:tcPr>
            <w:tcW w:w="100" w:type="dxa"/>
            <w:vAlign w:val="bottom"/>
            <w:gridSpan w:val="2"/>
            <w:vMerge w:val="restart"/>
          </w:tcPr>
          <w:p>
            <w:pPr>
              <w:spacing w:after="0"/>
              <w:rPr>
                <w:sz w:val="14"/>
                <w:szCs w:val="14"/>
                <w:color w:val="auto"/>
              </w:rPr>
            </w:pPr>
          </w:p>
        </w:tc>
        <w:tc>
          <w:tcPr>
            <w:tcW w:w="120" w:type="dxa"/>
            <w:vAlign w:val="bottom"/>
            <w:gridSpan w:val="3"/>
            <w:vMerge w:val="restart"/>
          </w:tcPr>
          <w:p>
            <w:pPr>
              <w:jc w:val="right"/>
              <w:spacing w:after="0"/>
              <w:rPr>
                <w:sz w:val="20"/>
                <w:szCs w:val="20"/>
                <w:color w:val="auto"/>
              </w:rPr>
            </w:pPr>
            <w:r>
              <w:rPr>
                <w:rFonts w:ascii="Arial" w:cs="Arial" w:eastAsia="Arial" w:hAnsi="Arial"/>
                <w:sz w:val="17"/>
                <w:szCs w:val="17"/>
                <w:color w:val="auto"/>
              </w:rPr>
              <w:t>$</w:t>
            </w:r>
          </w:p>
        </w:tc>
        <w:tc>
          <w:tcPr>
            <w:tcW w:w="1320" w:type="dxa"/>
            <w:vAlign w:val="bottom"/>
            <w:vMerge w:val="restart"/>
          </w:tcPr>
          <w:p>
            <w:pPr>
              <w:ind w:left="980"/>
              <w:spacing w:after="0"/>
              <w:rPr>
                <w:sz w:val="20"/>
                <w:szCs w:val="20"/>
                <w:color w:val="auto"/>
              </w:rPr>
            </w:pPr>
            <w:r>
              <w:rPr>
                <w:rFonts w:ascii="Arial" w:cs="Arial" w:eastAsia="Arial" w:hAnsi="Arial"/>
                <w:sz w:val="17"/>
                <w:szCs w:val="17"/>
                <w:color w:val="auto"/>
              </w:rPr>
              <w:t>613</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gridSpan w:val="2"/>
            <w:vMerge w:val="restart"/>
          </w:tcPr>
          <w:p>
            <w:pPr>
              <w:jc w:val="right"/>
              <w:ind w:right="20"/>
              <w:spacing w:after="0"/>
              <w:rPr>
                <w:sz w:val="20"/>
                <w:szCs w:val="20"/>
                <w:color w:val="auto"/>
              </w:rPr>
            </w:pPr>
            <w:r>
              <w:rPr>
                <w:rFonts w:ascii="Arial" w:cs="Arial" w:eastAsia="Arial" w:hAnsi="Arial"/>
                <w:sz w:val="15"/>
                <w:szCs w:val="15"/>
                <w:color w:val="auto"/>
                <w:w w:val="71"/>
              </w:rPr>
              <w:t>$</w:t>
            </w:r>
          </w:p>
        </w:tc>
        <w:tc>
          <w:tcPr>
            <w:tcW w:w="1260" w:type="dxa"/>
            <w:vAlign w:val="bottom"/>
            <w:vMerge w:val="restart"/>
          </w:tcPr>
          <w:p>
            <w:pPr>
              <w:jc w:val="right"/>
              <w:spacing w:after="0"/>
              <w:rPr>
                <w:sz w:val="20"/>
                <w:szCs w:val="20"/>
                <w:color w:val="auto"/>
              </w:rPr>
            </w:pPr>
            <w:r>
              <w:rPr>
                <w:rFonts w:ascii="Arial" w:cs="Arial" w:eastAsia="Arial" w:hAnsi="Arial"/>
                <w:sz w:val="17"/>
                <w:szCs w:val="17"/>
                <w:color w:val="auto"/>
              </w:rPr>
              <w:t>613</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4340" w:type="dxa"/>
            <w:vAlign w:val="bottom"/>
            <w:tcBorders>
              <w:bottom w:val="single" w:sz="8" w:color="CCEEFF"/>
            </w:tcBorders>
            <w:gridSpan w:val="3"/>
          </w:tcPr>
          <w:p>
            <w:pPr>
              <w:ind w:left="120"/>
              <w:spacing w:after="0"/>
              <w:rPr>
                <w:sz w:val="20"/>
                <w:szCs w:val="20"/>
                <w:color w:val="auto"/>
              </w:rPr>
            </w:pPr>
            <w:r>
              <w:rPr>
                <w:rFonts w:ascii="Arial" w:cs="Arial" w:eastAsia="Arial" w:hAnsi="Arial"/>
                <w:sz w:val="17"/>
                <w:szCs w:val="17"/>
                <w:color w:val="auto"/>
              </w:rPr>
              <w:t>Agreement</w:t>
            </w:r>
          </w:p>
        </w:tc>
        <w:tc>
          <w:tcPr>
            <w:tcW w:w="9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7"/>
                <w:szCs w:val="17"/>
                <w:color w:val="auto"/>
                <w:w w:val="84"/>
              </w:rPr>
              <w:t>$</w:t>
            </w:r>
          </w:p>
        </w:tc>
        <w:tc>
          <w:tcPr>
            <w:tcW w:w="4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vMerge w:val="continue"/>
          </w:tcPr>
          <w:p>
            <w:pPr>
              <w:spacing w:after="0"/>
              <w:rPr>
                <w:sz w:val="19"/>
                <w:szCs w:val="19"/>
                <w:color w:val="auto"/>
              </w:rPr>
            </w:pPr>
          </w:p>
        </w:tc>
        <w:tc>
          <w:tcPr>
            <w:tcW w:w="140" w:type="dxa"/>
            <w:vAlign w:val="bottom"/>
            <w:tcBorders>
              <w:bottom w:val="single" w:sz="8" w:color="auto"/>
            </w:tcBorders>
            <w:gridSpan w:val="2"/>
            <w:vMerge w:val="continue"/>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gridSpan w:val="2"/>
            <w:vMerge w:val="continue"/>
          </w:tcPr>
          <w:p>
            <w:pPr>
              <w:spacing w:after="0"/>
              <w:rPr>
                <w:sz w:val="19"/>
                <w:szCs w:val="19"/>
                <w:color w:val="auto"/>
              </w:rPr>
            </w:pPr>
          </w:p>
        </w:tc>
        <w:tc>
          <w:tcPr>
            <w:tcW w:w="120" w:type="dxa"/>
            <w:vAlign w:val="bottom"/>
            <w:tcBorders>
              <w:bottom w:val="single" w:sz="8" w:color="auto"/>
            </w:tcBorders>
            <w:gridSpan w:val="3"/>
            <w:vMerge w:val="continue"/>
          </w:tcPr>
          <w:p>
            <w:pPr>
              <w:spacing w:after="0"/>
              <w:rPr>
                <w:sz w:val="19"/>
                <w:szCs w:val="19"/>
                <w:color w:val="auto"/>
              </w:rPr>
            </w:pPr>
          </w:p>
        </w:tc>
        <w:tc>
          <w:tcPr>
            <w:tcW w:w="1320" w:type="dxa"/>
            <w:vAlign w:val="bottom"/>
            <w:tcBorders>
              <w:bottom w:val="single" w:sz="8" w:color="auto"/>
            </w:tcBorders>
            <w:vMerge w:val="continue"/>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2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gridSpan w:val="2"/>
            <w:vMerge w:val="continue"/>
          </w:tcPr>
          <w:p>
            <w:pPr>
              <w:spacing w:after="0"/>
              <w:rPr>
                <w:sz w:val="19"/>
                <w:szCs w:val="19"/>
                <w:color w:val="auto"/>
              </w:rPr>
            </w:pPr>
          </w:p>
        </w:tc>
        <w:tc>
          <w:tcPr>
            <w:tcW w:w="1260" w:type="dxa"/>
            <w:vAlign w:val="bottom"/>
            <w:tcBorders>
              <w:bottom w:val="single" w:sz="8" w:color="auto"/>
            </w:tcBorders>
            <w:vMerge w:val="continue"/>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5"/>
        </w:trPr>
        <w:tc>
          <w:tcPr>
            <w:tcW w:w="434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Total assets measured at fair value</w:t>
            </w:r>
          </w:p>
        </w:tc>
        <w:tc>
          <w:tcPr>
            <w:tcW w:w="1040" w:type="dxa"/>
            <w:vAlign w:val="bottom"/>
            <w:gridSpan w:val="3"/>
            <w:shd w:val="clear" w:color="auto" w:fill="CCEEFF"/>
          </w:tcPr>
          <w:p>
            <w:pPr>
              <w:jc w:val="right"/>
              <w:ind w:right="40"/>
              <w:spacing w:after="0"/>
              <w:rPr>
                <w:sz w:val="20"/>
                <w:szCs w:val="20"/>
                <w:color w:val="auto"/>
              </w:rPr>
            </w:pPr>
            <w:r>
              <w:rPr>
                <w:rFonts w:ascii="Arial" w:cs="Arial" w:eastAsia="Arial" w:hAnsi="Arial"/>
                <w:sz w:val="17"/>
                <w:szCs w:val="17"/>
                <w:color w:val="auto"/>
              </w:rPr>
              <w:t>$</w:t>
            </w:r>
          </w:p>
        </w:tc>
        <w:tc>
          <w:tcPr>
            <w:tcW w:w="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280" w:type="dxa"/>
            <w:vAlign w:val="bottom"/>
            <w:gridSpan w:val="2"/>
            <w:shd w:val="clear" w:color="auto" w:fill="CCEEFF"/>
          </w:tcPr>
          <w:p>
            <w:pPr>
              <w:ind w:left="940"/>
              <w:spacing w:after="0"/>
              <w:rPr>
                <w:sz w:val="20"/>
                <w:szCs w:val="20"/>
                <w:color w:val="auto"/>
              </w:rPr>
            </w:pPr>
            <w:r>
              <w:rPr>
                <w:rFonts w:ascii="Arial" w:cs="Arial" w:eastAsia="Arial" w:hAnsi="Arial"/>
                <w:sz w:val="17"/>
                <w:szCs w:val="17"/>
                <w:color w:val="auto"/>
              </w:rPr>
              <w:t>—</w:t>
            </w:r>
          </w:p>
        </w:tc>
        <w:tc>
          <w:tcPr>
            <w:tcW w:w="14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w w:val="84"/>
              </w:rPr>
              <w:t>$</w:t>
            </w:r>
          </w:p>
        </w:tc>
        <w:tc>
          <w:tcPr>
            <w:tcW w:w="6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1280" w:type="dxa"/>
            <w:vAlign w:val="bottom"/>
            <w:gridSpan w:val="3"/>
            <w:shd w:val="clear" w:color="auto" w:fill="CCEEFF"/>
          </w:tcPr>
          <w:p>
            <w:pPr>
              <w:jc w:val="center"/>
              <w:ind w:left="693"/>
              <w:spacing w:after="0"/>
              <w:rPr>
                <w:sz w:val="20"/>
                <w:szCs w:val="20"/>
                <w:color w:val="auto"/>
              </w:rPr>
            </w:pPr>
            <w:r>
              <w:rPr>
                <w:rFonts w:ascii="Arial" w:cs="Arial" w:eastAsia="Arial" w:hAnsi="Arial"/>
                <w:sz w:val="17"/>
                <w:szCs w:val="17"/>
                <w:color w:val="auto"/>
              </w:rPr>
              <w:t>—</w:t>
            </w:r>
          </w:p>
        </w:tc>
        <w:tc>
          <w:tcPr>
            <w:tcW w:w="1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20" w:type="dxa"/>
            <w:vAlign w:val="bottom"/>
            <w:shd w:val="clear" w:color="auto" w:fill="CCEEFF"/>
          </w:tcPr>
          <w:p>
            <w:pPr>
              <w:ind w:left="980"/>
              <w:spacing w:after="0"/>
              <w:rPr>
                <w:sz w:val="20"/>
                <w:szCs w:val="20"/>
                <w:color w:val="auto"/>
              </w:rPr>
            </w:pPr>
            <w:r>
              <w:rPr>
                <w:rFonts w:ascii="Arial" w:cs="Arial" w:eastAsia="Arial" w:hAnsi="Arial"/>
                <w:sz w:val="17"/>
                <w:szCs w:val="17"/>
                <w:color w:val="auto"/>
              </w:rPr>
              <w:t>613</w:t>
            </w:r>
          </w:p>
        </w:tc>
        <w:tc>
          <w:tcPr>
            <w:tcW w:w="8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00" w:type="dxa"/>
            <w:vAlign w:val="bottom"/>
            <w:gridSpan w:val="2"/>
            <w:shd w:val="clear" w:color="auto" w:fill="CCEEFF"/>
          </w:tcPr>
          <w:p>
            <w:pPr>
              <w:jc w:val="right"/>
              <w:ind w:right="20"/>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613</w:t>
            </w:r>
          </w:p>
        </w:tc>
        <w:tc>
          <w:tcPr>
            <w:tcW w:w="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02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4020" w:type="dxa"/>
            <w:vAlign w:val="bottom"/>
          </w:tcPr>
          <w:p>
            <w:pPr>
              <w:spacing w:after="0"/>
              <w:rPr>
                <w:sz w:val="8"/>
                <w:szCs w:val="8"/>
                <w:color w:val="auto"/>
              </w:rPr>
            </w:pPr>
          </w:p>
        </w:tc>
        <w:tc>
          <w:tcPr>
            <w:tcW w:w="40" w:type="dxa"/>
            <w:vAlign w:val="bottom"/>
          </w:tcPr>
          <w:p>
            <w:pPr>
              <w:spacing w:after="0"/>
              <w:rPr>
                <w:sz w:val="8"/>
                <w:szCs w:val="8"/>
                <w:color w:val="auto"/>
              </w:rPr>
            </w:pPr>
          </w:p>
        </w:tc>
        <w:tc>
          <w:tcPr>
            <w:tcW w:w="280" w:type="dxa"/>
            <w:vAlign w:val="bottom"/>
          </w:tcPr>
          <w:p>
            <w:pPr>
              <w:spacing w:after="0"/>
              <w:rPr>
                <w:sz w:val="8"/>
                <w:szCs w:val="8"/>
                <w:color w:val="auto"/>
              </w:rPr>
            </w:pPr>
          </w:p>
        </w:tc>
        <w:tc>
          <w:tcPr>
            <w:tcW w:w="90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11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13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2"/>
        </w:trPr>
        <w:tc>
          <w:tcPr>
            <w:tcW w:w="434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Liabilities:</w:t>
            </w:r>
          </w:p>
        </w:tc>
        <w:tc>
          <w:tcPr>
            <w:tcW w:w="9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340" w:type="dxa"/>
            <w:vAlign w:val="bottom"/>
            <w:tcBorders>
              <w:bottom w:val="single" w:sz="8" w:color="CCEEFF"/>
            </w:tcBorders>
            <w:gridSpan w:val="3"/>
          </w:tcPr>
          <w:p>
            <w:pPr>
              <w:ind w:left="120"/>
              <w:spacing w:after="0"/>
              <w:rPr>
                <w:sz w:val="20"/>
                <w:szCs w:val="20"/>
                <w:color w:val="auto"/>
              </w:rPr>
            </w:pPr>
            <w:r>
              <w:rPr>
                <w:rFonts w:ascii="Arial" w:cs="Arial" w:eastAsia="Arial" w:hAnsi="Arial"/>
                <w:sz w:val="17"/>
                <w:szCs w:val="17"/>
                <w:color w:val="auto"/>
                <w:w w:val="92"/>
              </w:rPr>
              <w:t>Compound embedded derivative with the 2013 8.00% Notes</w:t>
            </w:r>
          </w:p>
        </w:tc>
        <w:tc>
          <w:tcPr>
            <w:tcW w:w="9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7"/>
                <w:szCs w:val="17"/>
                <w:color w:val="auto"/>
                <w:w w:val="84"/>
              </w:rPr>
              <w:t>$</w:t>
            </w:r>
          </w:p>
        </w:tc>
        <w:tc>
          <w:tcPr>
            <w:tcW w:w="4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ind w:left="94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7"/>
                <w:szCs w:val="17"/>
                <w:color w:val="auto"/>
                <w:w w:val="84"/>
              </w:rPr>
              <w:t>$</w:t>
            </w:r>
          </w:p>
        </w:tc>
        <w:tc>
          <w:tcPr>
            <w:tcW w:w="6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center"/>
              <w:ind w:left="793"/>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gridSpan w:val="2"/>
          </w:tcPr>
          <w:p>
            <w:pPr>
              <w:spacing w:after="0"/>
              <w:rPr>
                <w:sz w:val="19"/>
                <w:szCs w:val="19"/>
                <w:color w:val="auto"/>
              </w:rPr>
            </w:pPr>
          </w:p>
        </w:tc>
        <w:tc>
          <w:tcPr>
            <w:tcW w:w="12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color w:val="auto"/>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(2,660)</w:t>
            </w:r>
          </w:p>
        </w:tc>
        <w:tc>
          <w:tcPr>
            <w:tcW w:w="80" w:type="dxa"/>
            <w:vAlign w:val="bottom"/>
            <w:tcBorders>
              <w:bottom w:val="single" w:sz="8" w:color="CCEEFF"/>
            </w:tcBorders>
          </w:tcPr>
          <w:p>
            <w:pPr>
              <w:spacing w:after="0"/>
              <w:rPr>
                <w:sz w:val="19"/>
                <w:szCs w:val="19"/>
                <w:color w:val="auto"/>
              </w:rPr>
            </w:pPr>
          </w:p>
        </w:tc>
        <w:tc>
          <w:tcPr>
            <w:tcW w:w="2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5"/>
                <w:szCs w:val="15"/>
                <w:color w:val="auto"/>
                <w:w w:val="71"/>
              </w:rPr>
              <w:t>$</w:t>
            </w:r>
          </w:p>
        </w:tc>
        <w:tc>
          <w:tcPr>
            <w:tcW w:w="13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7"/>
                <w:szCs w:val="17"/>
                <w:color w:val="auto"/>
              </w:rPr>
              <w:t>(2,660)</w:t>
            </w:r>
          </w:p>
        </w:tc>
        <w:tc>
          <w:tcPr>
            <w:tcW w:w="0" w:type="dxa"/>
            <w:vAlign w:val="bottom"/>
          </w:tcPr>
          <w:p>
            <w:pPr>
              <w:spacing w:after="0"/>
              <w:rPr>
                <w:sz w:val="1"/>
                <w:szCs w:val="1"/>
                <w:color w:val="auto"/>
              </w:rPr>
            </w:pPr>
          </w:p>
        </w:tc>
      </w:tr>
      <w:tr>
        <w:trPr>
          <w:trHeight w:val="235"/>
        </w:trPr>
        <w:tc>
          <w:tcPr>
            <w:tcW w:w="434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7"/>
                <w:szCs w:val="17"/>
                <w:color w:val="auto"/>
              </w:rPr>
              <w:t>Total liabilities measured at fair value</w:t>
            </w:r>
          </w:p>
        </w:tc>
        <w:tc>
          <w:tcPr>
            <w:tcW w:w="9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7"/>
                <w:szCs w:val="17"/>
                <w:color w:val="auto"/>
                <w:w w:val="84"/>
              </w:rPr>
              <w:t>$</w:t>
            </w:r>
          </w:p>
        </w:tc>
        <w:tc>
          <w:tcPr>
            <w:tcW w:w="40" w:type="dxa"/>
            <w:vAlign w:val="bottom"/>
            <w:tcBorders>
              <w:bottom w:val="single" w:sz="8" w:color="auto"/>
            </w:tcBorders>
            <w:shd w:val="clear" w:color="auto" w:fill="CCEEFF"/>
          </w:tcPr>
          <w:p>
            <w:pPr>
              <w:spacing w:after="0"/>
              <w:rPr>
                <w:sz w:val="20"/>
                <w:szCs w:val="20"/>
                <w:color w:val="auto"/>
              </w:rPr>
            </w:pPr>
          </w:p>
        </w:tc>
        <w:tc>
          <w:tcPr>
            <w:tcW w:w="60" w:type="dxa"/>
            <w:vAlign w:val="bottom"/>
            <w:tcBorders>
              <w:bottom w:val="single" w:sz="8" w:color="auto"/>
            </w:tcBorders>
            <w:shd w:val="clear" w:color="auto" w:fill="CCEEFF"/>
          </w:tcPr>
          <w:p>
            <w:pPr>
              <w:spacing w:after="0"/>
              <w:rPr>
                <w:sz w:val="20"/>
                <w:szCs w:val="20"/>
                <w:color w:val="auto"/>
              </w:rPr>
            </w:pPr>
          </w:p>
        </w:tc>
        <w:tc>
          <w:tcPr>
            <w:tcW w:w="1180" w:type="dxa"/>
            <w:vAlign w:val="bottom"/>
            <w:tcBorders>
              <w:bottom w:val="single" w:sz="8" w:color="auto"/>
            </w:tcBorders>
            <w:shd w:val="clear" w:color="auto" w:fill="CCEEFF"/>
          </w:tcPr>
          <w:p>
            <w:pPr>
              <w:ind w:left="94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7"/>
                <w:szCs w:val="17"/>
                <w:color w:val="auto"/>
                <w:w w:val="84"/>
              </w:rPr>
              <w:t>$</w:t>
            </w:r>
          </w:p>
        </w:tc>
        <w:tc>
          <w:tcPr>
            <w:tcW w:w="60" w:type="dxa"/>
            <w:vAlign w:val="bottom"/>
            <w:tcBorders>
              <w:bottom w:val="single" w:sz="8" w:color="auto"/>
            </w:tcBorders>
            <w:shd w:val="clear" w:color="auto" w:fill="CCEEFF"/>
          </w:tcPr>
          <w:p>
            <w:pPr>
              <w:spacing w:after="0"/>
              <w:rPr>
                <w:sz w:val="20"/>
                <w:szCs w:val="20"/>
                <w:color w:val="auto"/>
              </w:rPr>
            </w:pPr>
          </w:p>
        </w:tc>
        <w:tc>
          <w:tcPr>
            <w:tcW w:w="40" w:type="dxa"/>
            <w:vAlign w:val="bottom"/>
            <w:tcBorders>
              <w:bottom w:val="single" w:sz="8" w:color="auto"/>
            </w:tcBorders>
            <w:shd w:val="clear" w:color="auto" w:fill="CCEEFF"/>
          </w:tcPr>
          <w:p>
            <w:pPr>
              <w:spacing w:after="0"/>
              <w:rPr>
                <w:sz w:val="20"/>
                <w:szCs w:val="20"/>
                <w:color w:val="auto"/>
              </w:rPr>
            </w:pPr>
          </w:p>
        </w:tc>
        <w:tc>
          <w:tcPr>
            <w:tcW w:w="1180" w:type="dxa"/>
            <w:vAlign w:val="bottom"/>
            <w:tcBorders>
              <w:bottom w:val="single" w:sz="8" w:color="auto"/>
            </w:tcBorders>
            <w:shd w:val="clear" w:color="auto" w:fill="CCEEFF"/>
          </w:tcPr>
          <w:p>
            <w:pPr>
              <w:jc w:val="center"/>
              <w:ind w:left="793"/>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gridSpan w:val="2"/>
            <w:shd w:val="clear" w:color="auto" w:fill="CCEEFF"/>
          </w:tcPr>
          <w:p>
            <w:pPr>
              <w:spacing w:after="0"/>
              <w:rPr>
                <w:sz w:val="20"/>
                <w:szCs w:val="20"/>
                <w:color w:val="auto"/>
              </w:rPr>
            </w:pPr>
          </w:p>
        </w:tc>
        <w:tc>
          <w:tcPr>
            <w:tcW w:w="12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(2,660)</w:t>
            </w:r>
          </w:p>
        </w:tc>
        <w:tc>
          <w:tcPr>
            <w:tcW w:w="8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auto"/>
            </w:tcBorders>
            <w:shd w:val="clear" w:color="auto" w:fill="CCEEFF"/>
          </w:tcPr>
          <w:p>
            <w:pPr>
              <w:spacing w:after="0"/>
              <w:rPr>
                <w:sz w:val="20"/>
                <w:szCs w:val="20"/>
                <w:color w:val="auto"/>
              </w:rPr>
            </w:pPr>
          </w:p>
        </w:tc>
        <w:tc>
          <w:tcPr>
            <w:tcW w:w="100" w:type="dxa"/>
            <w:vAlign w:val="bottom"/>
            <w:tcBorders>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5"/>
                <w:szCs w:val="15"/>
                <w:color w:val="auto"/>
                <w:w w:val="71"/>
              </w:rPr>
              <w:t>$</w:t>
            </w:r>
          </w:p>
        </w:tc>
        <w:tc>
          <w:tcPr>
            <w:tcW w:w="1300" w:type="dxa"/>
            <w:vAlign w:val="bottom"/>
            <w:tcBorders>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(2,660)</w:t>
            </w:r>
          </w:p>
        </w:tc>
        <w:tc>
          <w:tcPr>
            <w:tcW w:w="0" w:type="dxa"/>
            <w:vAlign w:val="bottom"/>
          </w:tcPr>
          <w:p>
            <w:pPr>
              <w:spacing w:after="0"/>
              <w:rPr>
                <w:sz w:val="1"/>
                <w:szCs w:val="1"/>
                <w:color w:val="auto"/>
              </w:rPr>
            </w:pPr>
          </w:p>
        </w:tc>
      </w:tr>
      <w:tr>
        <w:trPr>
          <w:trHeight w:val="20"/>
        </w:trPr>
        <w:tc>
          <w:tcPr>
            <w:tcW w:w="40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99"/>
        </w:trPr>
        <w:tc>
          <w:tcPr>
            <w:tcW w:w="4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840" w:type="dxa"/>
            <w:vAlign w:val="bottom"/>
            <w:tcBorders>
              <w:bottom w:val="single" w:sz="8" w:color="auto"/>
            </w:tcBorders>
            <w:gridSpan w:val="10"/>
          </w:tcPr>
          <w:p>
            <w:pPr>
              <w:ind w:left="560"/>
              <w:spacing w:after="0"/>
              <w:rPr>
                <w:sz w:val="20"/>
                <w:szCs w:val="20"/>
                <w:color w:val="auto"/>
              </w:rPr>
            </w:pPr>
            <w:r>
              <w:rPr>
                <w:rFonts w:ascii="Arial" w:cs="Arial" w:eastAsia="Arial" w:hAnsi="Arial"/>
                <w:sz w:val="17"/>
                <w:szCs w:val="17"/>
                <w:color w:val="auto"/>
              </w:rPr>
              <w:t>December 31, 2020</w:t>
            </w:r>
          </w:p>
        </w:tc>
        <w:tc>
          <w:tcPr>
            <w:tcW w:w="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40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80" w:type="dxa"/>
            <w:vAlign w:val="bottom"/>
            <w:gridSpan w:val="2"/>
            <w:vMerge w:val="restart"/>
          </w:tcPr>
          <w:p>
            <w:pPr>
              <w:ind w:left="140"/>
              <w:spacing w:after="0"/>
              <w:rPr>
                <w:sz w:val="20"/>
                <w:szCs w:val="20"/>
                <w:color w:val="auto"/>
              </w:rPr>
            </w:pPr>
            <w:r>
              <w:rPr>
                <w:rFonts w:ascii="Arial" w:cs="Arial" w:eastAsia="Arial" w:hAnsi="Arial"/>
                <w:sz w:val="17"/>
                <w:szCs w:val="17"/>
                <w:color w:val="auto"/>
              </w:rPr>
              <w:t>(Level 1)</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80" w:type="dxa"/>
            <w:vAlign w:val="bottom"/>
            <w:gridSpan w:val="3"/>
            <w:vMerge w:val="restart"/>
          </w:tcPr>
          <w:p>
            <w:pPr>
              <w:ind w:left="160"/>
              <w:spacing w:after="0"/>
              <w:rPr>
                <w:sz w:val="20"/>
                <w:szCs w:val="20"/>
                <w:color w:val="auto"/>
              </w:rPr>
            </w:pPr>
            <w:r>
              <w:rPr>
                <w:rFonts w:ascii="Arial" w:cs="Arial" w:eastAsia="Arial" w:hAnsi="Arial"/>
                <w:sz w:val="17"/>
                <w:szCs w:val="17"/>
                <w:color w:val="auto"/>
              </w:rPr>
              <w:t>(Level 2)</w:t>
            </w: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40" w:type="dxa"/>
            <w:vAlign w:val="bottom"/>
            <w:gridSpan w:val="4"/>
            <w:vMerge w:val="restart"/>
          </w:tcPr>
          <w:p>
            <w:pPr>
              <w:ind w:left="280"/>
              <w:spacing w:after="0"/>
              <w:rPr>
                <w:sz w:val="20"/>
                <w:szCs w:val="20"/>
                <w:color w:val="auto"/>
              </w:rPr>
            </w:pPr>
            <w:r>
              <w:rPr>
                <w:rFonts w:ascii="Arial" w:cs="Arial" w:eastAsia="Arial" w:hAnsi="Arial"/>
                <w:sz w:val="17"/>
                <w:szCs w:val="17"/>
                <w:color w:val="auto"/>
              </w:rPr>
              <w:t>(Level 3)</w:t>
            </w: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2"/>
          </w:tcPr>
          <w:p>
            <w:pPr>
              <w:jc w:val="center"/>
              <w:ind w:right="120"/>
              <w:spacing w:after="0" w:line="164" w:lineRule="exact"/>
              <w:rPr>
                <w:sz w:val="20"/>
                <w:szCs w:val="20"/>
                <w:color w:val="auto"/>
              </w:rPr>
            </w:pPr>
            <w:r>
              <w:rPr>
                <w:rFonts w:ascii="Arial" w:cs="Arial" w:eastAsia="Arial" w:hAnsi="Arial"/>
                <w:sz w:val="17"/>
                <w:szCs w:val="17"/>
                <w:color w:val="auto"/>
                <w:w w:val="89"/>
              </w:rPr>
              <w:t>Total</w:t>
            </w:r>
          </w:p>
        </w:tc>
        <w:tc>
          <w:tcPr>
            <w:tcW w:w="0" w:type="dxa"/>
            <w:vAlign w:val="bottom"/>
          </w:tcPr>
          <w:p>
            <w:pPr>
              <w:spacing w:after="0"/>
              <w:rPr>
                <w:sz w:val="1"/>
                <w:szCs w:val="1"/>
                <w:color w:val="auto"/>
              </w:rPr>
            </w:pPr>
          </w:p>
        </w:tc>
      </w:tr>
      <w:tr>
        <w:trPr>
          <w:trHeight w:val="221"/>
        </w:trPr>
        <w:tc>
          <w:tcPr>
            <w:tcW w:w="40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8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80" w:type="dxa"/>
            <w:vAlign w:val="bottom"/>
            <w:gridSpan w:val="3"/>
            <w:vMerge w:val="continue"/>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40" w:type="dxa"/>
            <w:vAlign w:val="bottom"/>
            <w:gridSpan w:val="4"/>
            <w:vMerge w:val="continue"/>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300" w:type="dxa"/>
            <w:vAlign w:val="bottom"/>
            <w:gridSpan w:val="2"/>
          </w:tcPr>
          <w:p>
            <w:pPr>
              <w:jc w:val="center"/>
              <w:ind w:right="60"/>
              <w:spacing w:after="0"/>
              <w:rPr>
                <w:sz w:val="20"/>
                <w:szCs w:val="20"/>
                <w:color w:val="auto"/>
              </w:rPr>
            </w:pPr>
            <w:r>
              <w:rPr>
                <w:rFonts w:ascii="Arial" w:cs="Arial" w:eastAsia="Arial" w:hAnsi="Arial"/>
                <w:sz w:val="17"/>
                <w:szCs w:val="17"/>
                <w:color w:val="auto"/>
                <w:w w:val="91"/>
              </w:rPr>
              <w:t>Balance</w:t>
            </w:r>
          </w:p>
        </w:tc>
        <w:tc>
          <w:tcPr>
            <w:tcW w:w="0" w:type="dxa"/>
            <w:vAlign w:val="bottom"/>
          </w:tcPr>
          <w:p>
            <w:pPr>
              <w:spacing w:after="0"/>
              <w:rPr>
                <w:sz w:val="1"/>
                <w:szCs w:val="1"/>
                <w:color w:val="auto"/>
              </w:rPr>
            </w:pPr>
          </w:p>
        </w:tc>
      </w:tr>
      <w:tr>
        <w:trPr>
          <w:trHeight w:val="215"/>
        </w:trPr>
        <w:tc>
          <w:tcPr>
            <w:tcW w:w="4340" w:type="dxa"/>
            <w:vAlign w:val="bottom"/>
            <w:gridSpan w:val="3"/>
          </w:tcPr>
          <w:p>
            <w:pPr>
              <w:ind w:left="20"/>
              <w:spacing w:after="0"/>
              <w:rPr>
                <w:sz w:val="20"/>
                <w:szCs w:val="20"/>
                <w:color w:val="auto"/>
              </w:rPr>
            </w:pPr>
            <w:r>
              <w:rPr>
                <w:rFonts w:ascii="Arial" w:cs="Arial" w:eastAsia="Arial" w:hAnsi="Arial"/>
                <w:sz w:val="17"/>
                <w:szCs w:val="17"/>
                <w:color w:val="auto"/>
              </w:rPr>
              <w:t>Assets:</w:t>
            </w:r>
          </w:p>
        </w:tc>
        <w:tc>
          <w:tcPr>
            <w:tcW w:w="90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4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4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4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4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4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71"/>
        </w:trPr>
        <w:tc>
          <w:tcPr>
            <w:tcW w:w="5480" w:type="dxa"/>
            <w:vAlign w:val="bottom"/>
            <w:gridSpan w:val="8"/>
          </w:tcPr>
          <w:p>
            <w:pPr>
              <w:ind w:left="120"/>
              <w:spacing w:after="0" w:line="171" w:lineRule="exact"/>
              <w:rPr>
                <w:sz w:val="20"/>
                <w:szCs w:val="20"/>
                <w:color w:val="auto"/>
              </w:rPr>
            </w:pPr>
            <w:r>
              <w:rPr>
                <w:rFonts w:ascii="Arial" w:cs="Arial" w:eastAsia="Arial" w:hAnsi="Arial"/>
                <w:sz w:val="17"/>
                <w:szCs w:val="17"/>
                <w:color w:val="auto"/>
              </w:rPr>
              <w:t>Compound embedded derivative with the Second Lien Facility</w:t>
            </w:r>
          </w:p>
        </w:tc>
        <w:tc>
          <w:tcPr>
            <w:tcW w:w="1180" w:type="dxa"/>
            <w:vAlign w:val="bottom"/>
            <w:vMerge w:val="restart"/>
          </w:tcPr>
          <w:p>
            <w:pPr>
              <w:ind w:left="940"/>
              <w:spacing w:after="0"/>
              <w:rPr>
                <w:sz w:val="20"/>
                <w:szCs w:val="20"/>
                <w:color w:val="auto"/>
              </w:rPr>
            </w:pPr>
            <w:r>
              <w:rPr>
                <w:rFonts w:ascii="Arial" w:cs="Arial" w:eastAsia="Arial" w:hAnsi="Arial"/>
                <w:sz w:val="17"/>
                <w:szCs w:val="17"/>
                <w:color w:val="auto"/>
              </w:rPr>
              <w:t>—</w:t>
            </w:r>
          </w:p>
        </w:tc>
        <w:tc>
          <w:tcPr>
            <w:tcW w:w="100" w:type="dxa"/>
            <w:vAlign w:val="bottom"/>
            <w:vMerge w:val="restart"/>
          </w:tcPr>
          <w:p>
            <w:pPr>
              <w:spacing w:after="0"/>
              <w:rPr>
                <w:sz w:val="14"/>
                <w:szCs w:val="14"/>
                <w:color w:val="auto"/>
              </w:rPr>
            </w:pPr>
          </w:p>
        </w:tc>
        <w:tc>
          <w:tcPr>
            <w:tcW w:w="140" w:type="dxa"/>
            <w:vAlign w:val="bottom"/>
            <w:gridSpan w:val="2"/>
            <w:vMerge w:val="restart"/>
          </w:tcPr>
          <w:p>
            <w:pPr>
              <w:jc w:val="right"/>
              <w:ind w:right="40"/>
              <w:spacing w:after="0"/>
              <w:rPr>
                <w:sz w:val="20"/>
                <w:szCs w:val="20"/>
                <w:color w:val="auto"/>
              </w:rPr>
            </w:pPr>
            <w:r>
              <w:rPr>
                <w:rFonts w:ascii="Arial" w:cs="Arial" w:eastAsia="Arial" w:hAnsi="Arial"/>
                <w:sz w:val="17"/>
                <w:szCs w:val="17"/>
                <w:color w:val="auto"/>
                <w:w w:val="84"/>
              </w:rPr>
              <w:t>$</w:t>
            </w: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180" w:type="dxa"/>
            <w:vAlign w:val="bottom"/>
            <w:vMerge w:val="restart"/>
          </w:tcPr>
          <w:p>
            <w:pPr>
              <w:jc w:val="center"/>
              <w:ind w:left="793"/>
              <w:spacing w:after="0"/>
              <w:rPr>
                <w:sz w:val="20"/>
                <w:szCs w:val="20"/>
                <w:color w:val="auto"/>
              </w:rPr>
            </w:pPr>
            <w:r>
              <w:rPr>
                <w:rFonts w:ascii="Arial" w:cs="Arial" w:eastAsia="Arial" w:hAnsi="Arial"/>
                <w:sz w:val="17"/>
                <w:szCs w:val="17"/>
                <w:color w:val="auto"/>
              </w:rPr>
              <w:t>—</w:t>
            </w:r>
          </w:p>
        </w:tc>
        <w:tc>
          <w:tcPr>
            <w:tcW w:w="100" w:type="dxa"/>
            <w:vAlign w:val="bottom"/>
            <w:gridSpan w:val="2"/>
            <w:vMerge w:val="restart"/>
          </w:tcPr>
          <w:p>
            <w:pPr>
              <w:spacing w:after="0"/>
              <w:rPr>
                <w:sz w:val="14"/>
                <w:szCs w:val="14"/>
                <w:color w:val="auto"/>
              </w:rPr>
            </w:pPr>
          </w:p>
        </w:tc>
        <w:tc>
          <w:tcPr>
            <w:tcW w:w="120" w:type="dxa"/>
            <w:vAlign w:val="bottom"/>
            <w:gridSpan w:val="3"/>
            <w:vMerge w:val="restart"/>
          </w:tcPr>
          <w:p>
            <w:pPr>
              <w:jc w:val="right"/>
              <w:spacing w:after="0"/>
              <w:rPr>
                <w:sz w:val="20"/>
                <w:szCs w:val="20"/>
                <w:color w:val="auto"/>
              </w:rPr>
            </w:pPr>
            <w:r>
              <w:rPr>
                <w:rFonts w:ascii="Arial" w:cs="Arial" w:eastAsia="Arial" w:hAnsi="Arial"/>
                <w:sz w:val="17"/>
                <w:szCs w:val="17"/>
                <w:color w:val="auto"/>
              </w:rPr>
              <w:t>$</w:t>
            </w:r>
          </w:p>
        </w:tc>
        <w:tc>
          <w:tcPr>
            <w:tcW w:w="1320" w:type="dxa"/>
            <w:vAlign w:val="bottom"/>
            <w:vMerge w:val="restart"/>
          </w:tcPr>
          <w:p>
            <w:pPr>
              <w:ind w:left="980"/>
              <w:spacing w:after="0"/>
              <w:rPr>
                <w:sz w:val="20"/>
                <w:szCs w:val="20"/>
                <w:color w:val="auto"/>
              </w:rPr>
            </w:pPr>
            <w:r>
              <w:rPr>
                <w:rFonts w:ascii="Arial" w:cs="Arial" w:eastAsia="Arial" w:hAnsi="Arial"/>
                <w:sz w:val="17"/>
                <w:szCs w:val="17"/>
                <w:color w:val="auto"/>
              </w:rPr>
              <w:t>286</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gridSpan w:val="2"/>
            <w:vMerge w:val="restart"/>
          </w:tcPr>
          <w:p>
            <w:pPr>
              <w:jc w:val="right"/>
              <w:ind w:right="20"/>
              <w:spacing w:after="0"/>
              <w:rPr>
                <w:sz w:val="20"/>
                <w:szCs w:val="20"/>
                <w:color w:val="auto"/>
              </w:rPr>
            </w:pPr>
            <w:r>
              <w:rPr>
                <w:rFonts w:ascii="Arial" w:cs="Arial" w:eastAsia="Arial" w:hAnsi="Arial"/>
                <w:sz w:val="15"/>
                <w:szCs w:val="15"/>
                <w:color w:val="auto"/>
                <w:w w:val="71"/>
              </w:rPr>
              <w:t>$</w:t>
            </w:r>
          </w:p>
        </w:tc>
        <w:tc>
          <w:tcPr>
            <w:tcW w:w="1260" w:type="dxa"/>
            <w:vAlign w:val="bottom"/>
            <w:vMerge w:val="restart"/>
          </w:tcPr>
          <w:p>
            <w:pPr>
              <w:jc w:val="right"/>
              <w:spacing w:after="0"/>
              <w:rPr>
                <w:sz w:val="20"/>
                <w:szCs w:val="20"/>
                <w:color w:val="auto"/>
              </w:rPr>
            </w:pPr>
            <w:r>
              <w:rPr>
                <w:rFonts w:ascii="Arial" w:cs="Arial" w:eastAsia="Arial" w:hAnsi="Arial"/>
                <w:sz w:val="17"/>
                <w:szCs w:val="17"/>
                <w:color w:val="auto"/>
              </w:rPr>
              <w:t>286</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4340" w:type="dxa"/>
            <w:vAlign w:val="bottom"/>
            <w:tcBorders>
              <w:bottom w:val="single" w:sz="8" w:color="CCEEFF"/>
            </w:tcBorders>
            <w:gridSpan w:val="3"/>
          </w:tcPr>
          <w:p>
            <w:pPr>
              <w:ind w:left="120"/>
              <w:spacing w:after="0"/>
              <w:rPr>
                <w:sz w:val="20"/>
                <w:szCs w:val="20"/>
                <w:color w:val="auto"/>
              </w:rPr>
            </w:pPr>
            <w:r>
              <w:rPr>
                <w:rFonts w:ascii="Arial" w:cs="Arial" w:eastAsia="Arial" w:hAnsi="Arial"/>
                <w:sz w:val="17"/>
                <w:szCs w:val="17"/>
                <w:color w:val="auto"/>
              </w:rPr>
              <w:t>Agreement</w:t>
            </w:r>
          </w:p>
        </w:tc>
        <w:tc>
          <w:tcPr>
            <w:tcW w:w="9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7"/>
                <w:szCs w:val="17"/>
                <w:color w:val="auto"/>
                <w:w w:val="84"/>
              </w:rPr>
              <w:t>$</w:t>
            </w:r>
          </w:p>
        </w:tc>
        <w:tc>
          <w:tcPr>
            <w:tcW w:w="4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vMerge w:val="continue"/>
          </w:tcPr>
          <w:p>
            <w:pPr>
              <w:spacing w:after="0"/>
              <w:rPr>
                <w:sz w:val="19"/>
                <w:szCs w:val="19"/>
                <w:color w:val="auto"/>
              </w:rPr>
            </w:pPr>
          </w:p>
        </w:tc>
        <w:tc>
          <w:tcPr>
            <w:tcW w:w="140" w:type="dxa"/>
            <w:vAlign w:val="bottom"/>
            <w:tcBorders>
              <w:bottom w:val="single" w:sz="8" w:color="auto"/>
            </w:tcBorders>
            <w:gridSpan w:val="2"/>
            <w:vMerge w:val="continue"/>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gridSpan w:val="2"/>
            <w:vMerge w:val="continue"/>
          </w:tcPr>
          <w:p>
            <w:pPr>
              <w:spacing w:after="0"/>
              <w:rPr>
                <w:sz w:val="19"/>
                <w:szCs w:val="19"/>
                <w:color w:val="auto"/>
              </w:rPr>
            </w:pPr>
          </w:p>
        </w:tc>
        <w:tc>
          <w:tcPr>
            <w:tcW w:w="120" w:type="dxa"/>
            <w:vAlign w:val="bottom"/>
            <w:tcBorders>
              <w:bottom w:val="single" w:sz="8" w:color="auto"/>
            </w:tcBorders>
            <w:gridSpan w:val="3"/>
            <w:vMerge w:val="continue"/>
          </w:tcPr>
          <w:p>
            <w:pPr>
              <w:spacing w:after="0"/>
              <w:rPr>
                <w:sz w:val="19"/>
                <w:szCs w:val="19"/>
                <w:color w:val="auto"/>
              </w:rPr>
            </w:pPr>
          </w:p>
        </w:tc>
        <w:tc>
          <w:tcPr>
            <w:tcW w:w="1320" w:type="dxa"/>
            <w:vAlign w:val="bottom"/>
            <w:tcBorders>
              <w:bottom w:val="single" w:sz="8" w:color="auto"/>
            </w:tcBorders>
            <w:vMerge w:val="continue"/>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2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gridSpan w:val="2"/>
            <w:vMerge w:val="continue"/>
          </w:tcPr>
          <w:p>
            <w:pPr>
              <w:spacing w:after="0"/>
              <w:rPr>
                <w:sz w:val="19"/>
                <w:szCs w:val="19"/>
                <w:color w:val="auto"/>
              </w:rPr>
            </w:pPr>
          </w:p>
        </w:tc>
        <w:tc>
          <w:tcPr>
            <w:tcW w:w="1260" w:type="dxa"/>
            <w:vAlign w:val="bottom"/>
            <w:tcBorders>
              <w:bottom w:val="single" w:sz="8" w:color="auto"/>
            </w:tcBorders>
            <w:vMerge w:val="continue"/>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5"/>
        </w:trPr>
        <w:tc>
          <w:tcPr>
            <w:tcW w:w="434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Total assets measured at fair value</w:t>
            </w:r>
          </w:p>
        </w:tc>
        <w:tc>
          <w:tcPr>
            <w:tcW w:w="1040" w:type="dxa"/>
            <w:vAlign w:val="bottom"/>
            <w:gridSpan w:val="3"/>
            <w:shd w:val="clear" w:color="auto" w:fill="CCEEFF"/>
          </w:tcPr>
          <w:p>
            <w:pPr>
              <w:jc w:val="right"/>
              <w:ind w:right="40"/>
              <w:spacing w:after="0"/>
              <w:rPr>
                <w:sz w:val="20"/>
                <w:szCs w:val="20"/>
                <w:color w:val="auto"/>
              </w:rPr>
            </w:pPr>
            <w:r>
              <w:rPr>
                <w:rFonts w:ascii="Arial" w:cs="Arial" w:eastAsia="Arial" w:hAnsi="Arial"/>
                <w:sz w:val="17"/>
                <w:szCs w:val="17"/>
                <w:color w:val="auto"/>
              </w:rPr>
              <w:t>$</w:t>
            </w:r>
          </w:p>
        </w:tc>
        <w:tc>
          <w:tcPr>
            <w:tcW w:w="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280" w:type="dxa"/>
            <w:vAlign w:val="bottom"/>
            <w:gridSpan w:val="2"/>
            <w:shd w:val="clear" w:color="auto" w:fill="CCEEFF"/>
          </w:tcPr>
          <w:p>
            <w:pPr>
              <w:ind w:left="940"/>
              <w:spacing w:after="0"/>
              <w:rPr>
                <w:sz w:val="20"/>
                <w:szCs w:val="20"/>
                <w:color w:val="auto"/>
              </w:rPr>
            </w:pPr>
            <w:r>
              <w:rPr>
                <w:rFonts w:ascii="Arial" w:cs="Arial" w:eastAsia="Arial" w:hAnsi="Arial"/>
                <w:sz w:val="17"/>
                <w:szCs w:val="17"/>
                <w:color w:val="auto"/>
              </w:rPr>
              <w:t>—</w:t>
            </w:r>
          </w:p>
        </w:tc>
        <w:tc>
          <w:tcPr>
            <w:tcW w:w="14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w w:val="84"/>
              </w:rPr>
              <w:t>$</w:t>
            </w:r>
          </w:p>
        </w:tc>
        <w:tc>
          <w:tcPr>
            <w:tcW w:w="6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1280" w:type="dxa"/>
            <w:vAlign w:val="bottom"/>
            <w:gridSpan w:val="3"/>
            <w:shd w:val="clear" w:color="auto" w:fill="CCEEFF"/>
          </w:tcPr>
          <w:p>
            <w:pPr>
              <w:jc w:val="center"/>
              <w:ind w:left="693"/>
              <w:spacing w:after="0"/>
              <w:rPr>
                <w:sz w:val="20"/>
                <w:szCs w:val="20"/>
                <w:color w:val="auto"/>
              </w:rPr>
            </w:pPr>
            <w:r>
              <w:rPr>
                <w:rFonts w:ascii="Arial" w:cs="Arial" w:eastAsia="Arial" w:hAnsi="Arial"/>
                <w:sz w:val="17"/>
                <w:szCs w:val="17"/>
                <w:color w:val="auto"/>
              </w:rPr>
              <w:t>—</w:t>
            </w:r>
          </w:p>
        </w:tc>
        <w:tc>
          <w:tcPr>
            <w:tcW w:w="1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20" w:type="dxa"/>
            <w:vAlign w:val="bottom"/>
            <w:shd w:val="clear" w:color="auto" w:fill="CCEEFF"/>
          </w:tcPr>
          <w:p>
            <w:pPr>
              <w:ind w:left="980"/>
              <w:spacing w:after="0"/>
              <w:rPr>
                <w:sz w:val="20"/>
                <w:szCs w:val="20"/>
                <w:color w:val="auto"/>
              </w:rPr>
            </w:pPr>
            <w:r>
              <w:rPr>
                <w:rFonts w:ascii="Arial" w:cs="Arial" w:eastAsia="Arial" w:hAnsi="Arial"/>
                <w:sz w:val="17"/>
                <w:szCs w:val="17"/>
                <w:color w:val="auto"/>
              </w:rPr>
              <w:t>286</w:t>
            </w:r>
          </w:p>
        </w:tc>
        <w:tc>
          <w:tcPr>
            <w:tcW w:w="8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00" w:type="dxa"/>
            <w:vAlign w:val="bottom"/>
            <w:gridSpan w:val="2"/>
            <w:shd w:val="clear" w:color="auto" w:fill="CCEEFF"/>
          </w:tcPr>
          <w:p>
            <w:pPr>
              <w:jc w:val="right"/>
              <w:ind w:right="20"/>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286</w:t>
            </w:r>
          </w:p>
        </w:tc>
        <w:tc>
          <w:tcPr>
            <w:tcW w:w="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02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4020" w:type="dxa"/>
            <w:vAlign w:val="bottom"/>
          </w:tcPr>
          <w:p>
            <w:pPr>
              <w:spacing w:after="0"/>
              <w:rPr>
                <w:sz w:val="8"/>
                <w:szCs w:val="8"/>
                <w:color w:val="auto"/>
              </w:rPr>
            </w:pPr>
          </w:p>
        </w:tc>
        <w:tc>
          <w:tcPr>
            <w:tcW w:w="40" w:type="dxa"/>
            <w:vAlign w:val="bottom"/>
          </w:tcPr>
          <w:p>
            <w:pPr>
              <w:spacing w:after="0"/>
              <w:rPr>
                <w:sz w:val="8"/>
                <w:szCs w:val="8"/>
                <w:color w:val="auto"/>
              </w:rPr>
            </w:pPr>
          </w:p>
        </w:tc>
        <w:tc>
          <w:tcPr>
            <w:tcW w:w="280" w:type="dxa"/>
            <w:vAlign w:val="bottom"/>
          </w:tcPr>
          <w:p>
            <w:pPr>
              <w:spacing w:after="0"/>
              <w:rPr>
                <w:sz w:val="8"/>
                <w:szCs w:val="8"/>
                <w:color w:val="auto"/>
              </w:rPr>
            </w:pPr>
          </w:p>
        </w:tc>
        <w:tc>
          <w:tcPr>
            <w:tcW w:w="90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11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13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2"/>
        </w:trPr>
        <w:tc>
          <w:tcPr>
            <w:tcW w:w="434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Liabilities:</w:t>
            </w:r>
          </w:p>
        </w:tc>
        <w:tc>
          <w:tcPr>
            <w:tcW w:w="9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340" w:type="dxa"/>
            <w:vAlign w:val="bottom"/>
            <w:tcBorders>
              <w:bottom w:val="single" w:sz="8" w:color="CCEEFF"/>
            </w:tcBorders>
            <w:gridSpan w:val="3"/>
          </w:tcPr>
          <w:p>
            <w:pPr>
              <w:ind w:left="120"/>
              <w:spacing w:after="0"/>
              <w:rPr>
                <w:sz w:val="20"/>
                <w:szCs w:val="20"/>
                <w:color w:val="auto"/>
              </w:rPr>
            </w:pPr>
            <w:r>
              <w:rPr>
                <w:rFonts w:ascii="Arial" w:cs="Arial" w:eastAsia="Arial" w:hAnsi="Arial"/>
                <w:sz w:val="17"/>
                <w:szCs w:val="17"/>
                <w:color w:val="auto"/>
                <w:w w:val="92"/>
              </w:rPr>
              <w:t>Compound embedded derivative with the 2013 8.00% Notes</w:t>
            </w:r>
          </w:p>
        </w:tc>
        <w:tc>
          <w:tcPr>
            <w:tcW w:w="9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7"/>
                <w:szCs w:val="17"/>
                <w:color w:val="auto"/>
                <w:w w:val="84"/>
              </w:rPr>
              <w:t>$</w:t>
            </w:r>
          </w:p>
        </w:tc>
        <w:tc>
          <w:tcPr>
            <w:tcW w:w="4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ind w:left="94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7"/>
                <w:szCs w:val="17"/>
                <w:color w:val="auto"/>
                <w:w w:val="84"/>
              </w:rPr>
              <w:t>$</w:t>
            </w:r>
          </w:p>
        </w:tc>
        <w:tc>
          <w:tcPr>
            <w:tcW w:w="6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center"/>
              <w:ind w:left="793"/>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gridSpan w:val="2"/>
          </w:tcPr>
          <w:p>
            <w:pPr>
              <w:spacing w:after="0"/>
              <w:rPr>
                <w:sz w:val="19"/>
                <w:szCs w:val="19"/>
                <w:color w:val="auto"/>
              </w:rPr>
            </w:pPr>
          </w:p>
        </w:tc>
        <w:tc>
          <w:tcPr>
            <w:tcW w:w="12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color w:val="auto"/>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(123)</w:t>
            </w:r>
          </w:p>
        </w:tc>
        <w:tc>
          <w:tcPr>
            <w:tcW w:w="80" w:type="dxa"/>
            <w:vAlign w:val="bottom"/>
            <w:tcBorders>
              <w:bottom w:val="single" w:sz="8" w:color="CCEEFF"/>
            </w:tcBorders>
          </w:tcPr>
          <w:p>
            <w:pPr>
              <w:spacing w:after="0"/>
              <w:rPr>
                <w:sz w:val="19"/>
                <w:szCs w:val="19"/>
                <w:color w:val="auto"/>
              </w:rPr>
            </w:pPr>
          </w:p>
        </w:tc>
        <w:tc>
          <w:tcPr>
            <w:tcW w:w="2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5"/>
                <w:szCs w:val="15"/>
                <w:color w:val="auto"/>
                <w:w w:val="71"/>
              </w:rPr>
              <w:t>$</w:t>
            </w:r>
          </w:p>
        </w:tc>
        <w:tc>
          <w:tcPr>
            <w:tcW w:w="13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7"/>
                <w:szCs w:val="17"/>
                <w:color w:val="auto"/>
              </w:rPr>
              <w:t>(123)</w:t>
            </w:r>
          </w:p>
        </w:tc>
        <w:tc>
          <w:tcPr>
            <w:tcW w:w="0" w:type="dxa"/>
            <w:vAlign w:val="bottom"/>
          </w:tcPr>
          <w:p>
            <w:pPr>
              <w:spacing w:after="0"/>
              <w:rPr>
                <w:sz w:val="1"/>
                <w:szCs w:val="1"/>
                <w:color w:val="auto"/>
              </w:rPr>
            </w:pPr>
          </w:p>
        </w:tc>
      </w:tr>
      <w:tr>
        <w:trPr>
          <w:trHeight w:val="235"/>
        </w:trPr>
        <w:tc>
          <w:tcPr>
            <w:tcW w:w="434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Total liabilities measured at fair value</w:t>
            </w:r>
          </w:p>
        </w:tc>
        <w:tc>
          <w:tcPr>
            <w:tcW w:w="1040" w:type="dxa"/>
            <w:vAlign w:val="bottom"/>
            <w:gridSpan w:val="3"/>
            <w:shd w:val="clear" w:color="auto" w:fill="CCEEFF"/>
          </w:tcPr>
          <w:p>
            <w:pPr>
              <w:jc w:val="right"/>
              <w:ind w:right="40"/>
              <w:spacing w:after="0"/>
              <w:rPr>
                <w:sz w:val="20"/>
                <w:szCs w:val="20"/>
                <w:color w:val="auto"/>
              </w:rPr>
            </w:pPr>
            <w:r>
              <w:rPr>
                <w:rFonts w:ascii="Arial" w:cs="Arial" w:eastAsia="Arial" w:hAnsi="Arial"/>
                <w:sz w:val="17"/>
                <w:szCs w:val="17"/>
                <w:color w:val="auto"/>
              </w:rPr>
              <w:t>$</w:t>
            </w:r>
          </w:p>
        </w:tc>
        <w:tc>
          <w:tcPr>
            <w:tcW w:w="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280" w:type="dxa"/>
            <w:vAlign w:val="bottom"/>
            <w:gridSpan w:val="2"/>
            <w:shd w:val="clear" w:color="auto" w:fill="CCEEFF"/>
          </w:tcPr>
          <w:p>
            <w:pPr>
              <w:ind w:left="940"/>
              <w:spacing w:after="0"/>
              <w:rPr>
                <w:sz w:val="20"/>
                <w:szCs w:val="20"/>
                <w:color w:val="auto"/>
              </w:rPr>
            </w:pPr>
            <w:r>
              <w:rPr>
                <w:rFonts w:ascii="Arial" w:cs="Arial" w:eastAsia="Arial" w:hAnsi="Arial"/>
                <w:sz w:val="17"/>
                <w:szCs w:val="17"/>
                <w:color w:val="auto"/>
              </w:rPr>
              <w:t>—</w:t>
            </w:r>
          </w:p>
        </w:tc>
        <w:tc>
          <w:tcPr>
            <w:tcW w:w="14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w w:val="84"/>
              </w:rPr>
              <w:t>$</w:t>
            </w:r>
          </w:p>
        </w:tc>
        <w:tc>
          <w:tcPr>
            <w:tcW w:w="6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1280" w:type="dxa"/>
            <w:vAlign w:val="bottom"/>
            <w:gridSpan w:val="3"/>
            <w:shd w:val="clear" w:color="auto" w:fill="CCEEFF"/>
          </w:tcPr>
          <w:p>
            <w:pPr>
              <w:jc w:val="center"/>
              <w:ind w:left="693"/>
              <w:spacing w:after="0"/>
              <w:rPr>
                <w:sz w:val="20"/>
                <w:szCs w:val="20"/>
                <w:color w:val="auto"/>
              </w:rPr>
            </w:pPr>
            <w:r>
              <w:rPr>
                <w:rFonts w:ascii="Arial" w:cs="Arial" w:eastAsia="Arial" w:hAnsi="Arial"/>
                <w:sz w:val="17"/>
                <w:szCs w:val="17"/>
                <w:color w:val="auto"/>
              </w:rPr>
              <w:t>—</w:t>
            </w:r>
          </w:p>
        </w:tc>
        <w:tc>
          <w:tcPr>
            <w:tcW w:w="1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(123)</w:t>
            </w:r>
          </w:p>
        </w:tc>
        <w:tc>
          <w:tcPr>
            <w:tcW w:w="8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00" w:type="dxa"/>
            <w:vAlign w:val="bottom"/>
            <w:gridSpan w:val="2"/>
            <w:shd w:val="clear" w:color="auto" w:fill="CCEEFF"/>
          </w:tcPr>
          <w:p>
            <w:pPr>
              <w:jc w:val="right"/>
              <w:ind w:right="20"/>
              <w:spacing w:after="0"/>
              <w:rPr>
                <w:sz w:val="20"/>
                <w:szCs w:val="20"/>
                <w:color w:val="auto"/>
              </w:rPr>
            </w:pPr>
            <w:r>
              <w:rPr>
                <w:rFonts w:ascii="Arial" w:cs="Arial" w:eastAsia="Arial" w:hAnsi="Arial"/>
                <w:sz w:val="15"/>
                <w:szCs w:val="15"/>
                <w:color w:val="auto"/>
                <w:w w:val="71"/>
              </w:rPr>
              <w: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(123)</w:t>
            </w:r>
          </w:p>
        </w:tc>
        <w:tc>
          <w:tcPr>
            <w:tcW w:w="0" w:type="dxa"/>
            <w:vAlign w:val="bottom"/>
          </w:tcPr>
          <w:p>
            <w:pPr>
              <w:spacing w:after="0"/>
              <w:rPr>
                <w:sz w:val="1"/>
                <w:szCs w:val="1"/>
                <w:color w:val="auto"/>
              </w:rPr>
            </w:pPr>
          </w:p>
        </w:tc>
      </w:tr>
      <w:tr>
        <w:trPr>
          <w:trHeight w:val="20"/>
        </w:trPr>
        <w:tc>
          <w:tcPr>
            <w:tcW w:w="4340" w:type="dxa"/>
            <w:vAlign w:val="bottom"/>
            <w:tcBorders>
              <w:top w:val="single" w:sz="8" w:color="CCEEFF"/>
              <w:bottom w:val="single" w:sz="8" w:color="CCEEFF"/>
            </w:tcBorders>
            <w:gridSpan w:val="3"/>
            <w:vMerge w:val="restart"/>
          </w:tcPr>
          <w:p>
            <w:pPr>
              <w:spacing w:after="0"/>
              <w:rPr>
                <w:sz w:val="20"/>
                <w:szCs w:val="20"/>
                <w:color w:val="auto"/>
              </w:rPr>
            </w:pPr>
            <w:r>
              <w:rPr>
                <w:rFonts w:ascii="Arial" w:cs="Arial" w:eastAsia="Arial" w:hAnsi="Arial"/>
                <w:sz w:val="17"/>
                <w:szCs w:val="17"/>
                <w:i w:val="1"/>
                <w:iCs w:val="1"/>
                <w:color w:val="auto"/>
              </w:rPr>
              <w:t>2013 8.00% Notes</w:t>
            </w:r>
          </w:p>
        </w:tc>
        <w:tc>
          <w:tcPr>
            <w:tcW w:w="9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8"/>
        </w:trPr>
        <w:tc>
          <w:tcPr>
            <w:tcW w:w="4340" w:type="dxa"/>
            <w:vAlign w:val="bottom"/>
            <w:gridSpan w:val="3"/>
            <w:vMerge w:val="continue"/>
          </w:tcPr>
          <w:p>
            <w:pPr>
              <w:spacing w:after="0"/>
              <w:rPr>
                <w:sz w:val="24"/>
                <w:szCs w:val="24"/>
                <w:color w:val="auto"/>
              </w:rPr>
            </w:pPr>
          </w:p>
        </w:tc>
        <w:tc>
          <w:tcPr>
            <w:tcW w:w="9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4"/>
        </w:trPr>
        <w:tc>
          <w:tcPr>
            <w:tcW w:w="8280" w:type="dxa"/>
            <w:vAlign w:val="bottom"/>
            <w:gridSpan w:val="17"/>
          </w:tcPr>
          <w:p>
            <w:pPr>
              <w:ind w:left="320"/>
              <w:spacing w:after="0"/>
              <w:rPr>
                <w:sz w:val="20"/>
                <w:szCs w:val="20"/>
                <w:color w:val="auto"/>
              </w:rPr>
            </w:pPr>
            <w:r>
              <w:rPr>
                <w:rFonts w:ascii="Arial" w:cs="Arial" w:eastAsia="Arial" w:hAnsi="Arial"/>
                <w:sz w:val="17"/>
                <w:szCs w:val="17"/>
                <w:color w:val="auto"/>
              </w:rPr>
              <w:t>The significant quantitative Level 3 inputs utilized in the valuation models are shown in the tables below:</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8"/>
        </w:trPr>
        <w:tc>
          <w:tcPr>
            <w:tcW w:w="40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118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1440" w:type="dxa"/>
            <w:vAlign w:val="bottom"/>
            <w:tcBorders>
              <w:bottom w:val="single" w:sz="8" w:color="auto"/>
            </w:tcBorders>
            <w:gridSpan w:val="7"/>
          </w:tcPr>
          <w:p>
            <w:pPr>
              <w:jc w:val="center"/>
              <w:ind w:right="40"/>
              <w:spacing w:after="0"/>
              <w:rPr>
                <w:sz w:val="20"/>
                <w:szCs w:val="20"/>
                <w:color w:val="auto"/>
              </w:rPr>
            </w:pPr>
            <w:r>
              <w:rPr>
                <w:rFonts w:ascii="Arial" w:cs="Arial" w:eastAsia="Arial" w:hAnsi="Arial"/>
                <w:sz w:val="17"/>
                <w:szCs w:val="17"/>
                <w:color w:val="auto"/>
                <w:w w:val="90"/>
              </w:rPr>
              <w:t>September 30, 2021</w:t>
            </w:r>
          </w:p>
        </w:tc>
        <w:tc>
          <w:tcPr>
            <w:tcW w:w="132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64"/>
        </w:trPr>
        <w:tc>
          <w:tcPr>
            <w:tcW w:w="40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20" w:type="dxa"/>
            <w:vAlign w:val="bottom"/>
            <w:gridSpan w:val="6"/>
            <w:vMerge w:val="restart"/>
          </w:tcPr>
          <w:p>
            <w:pPr>
              <w:ind w:left="260"/>
              <w:spacing w:after="0"/>
              <w:rPr>
                <w:sz w:val="20"/>
                <w:szCs w:val="20"/>
                <w:color w:val="auto"/>
              </w:rPr>
            </w:pPr>
            <w:r>
              <w:rPr>
                <w:rFonts w:ascii="Arial" w:cs="Arial" w:eastAsia="Arial" w:hAnsi="Arial"/>
                <w:sz w:val="17"/>
                <w:szCs w:val="17"/>
                <w:color w:val="auto"/>
              </w:rPr>
              <w:t>Stock Price</w:t>
            </w:r>
          </w:p>
        </w:tc>
        <w:tc>
          <w:tcPr>
            <w:tcW w:w="1280" w:type="dxa"/>
            <w:vAlign w:val="bottom"/>
            <w:gridSpan w:val="2"/>
          </w:tcPr>
          <w:p>
            <w:pPr>
              <w:jc w:val="center"/>
              <w:ind w:left="53"/>
              <w:spacing w:after="0" w:line="164" w:lineRule="exact"/>
              <w:rPr>
                <w:sz w:val="20"/>
                <w:szCs w:val="20"/>
                <w:color w:val="auto"/>
              </w:rPr>
            </w:pPr>
            <w:r>
              <w:rPr>
                <w:rFonts w:ascii="Arial" w:cs="Arial" w:eastAsia="Arial" w:hAnsi="Arial"/>
                <w:sz w:val="17"/>
                <w:szCs w:val="17"/>
                <w:color w:val="auto"/>
                <w:w w:val="94"/>
              </w:rPr>
              <w:t>Risk-Free</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80" w:type="dxa"/>
            <w:vAlign w:val="bottom"/>
            <w:gridSpan w:val="3"/>
          </w:tcPr>
          <w:p>
            <w:pPr>
              <w:jc w:val="center"/>
              <w:spacing w:after="0" w:line="164" w:lineRule="exact"/>
              <w:rPr>
                <w:sz w:val="20"/>
                <w:szCs w:val="20"/>
                <w:color w:val="auto"/>
              </w:rPr>
            </w:pPr>
            <w:r>
              <w:rPr>
                <w:rFonts w:ascii="Arial" w:cs="Arial" w:eastAsia="Arial" w:hAnsi="Arial"/>
                <w:sz w:val="17"/>
                <w:szCs w:val="17"/>
                <w:color w:val="auto"/>
                <w:w w:val="94"/>
              </w:rPr>
              <w:t>Note</w:t>
            </w: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2"/>
            <w:vMerge w:val="restart"/>
          </w:tcPr>
          <w:p>
            <w:pPr>
              <w:jc w:val="right"/>
              <w:ind w:right="100"/>
              <w:spacing w:after="0"/>
              <w:rPr>
                <w:sz w:val="20"/>
                <w:szCs w:val="20"/>
                <w:color w:val="auto"/>
              </w:rPr>
            </w:pPr>
            <w:r>
              <w:rPr>
                <w:rFonts w:ascii="Arial" w:cs="Arial" w:eastAsia="Arial" w:hAnsi="Arial"/>
                <w:sz w:val="17"/>
                <w:szCs w:val="17"/>
                <w:color w:val="auto"/>
              </w:rPr>
              <w:t>Market Price of</w:t>
            </w:r>
          </w:p>
        </w:tc>
        <w:tc>
          <w:tcPr>
            <w:tcW w:w="0" w:type="dxa"/>
            <w:vAlign w:val="bottom"/>
          </w:tcPr>
          <w:p>
            <w:pPr>
              <w:spacing w:after="0"/>
              <w:rPr>
                <w:sz w:val="1"/>
                <w:szCs w:val="1"/>
                <w:color w:val="auto"/>
              </w:rPr>
            </w:pPr>
          </w:p>
        </w:tc>
      </w:tr>
      <w:tr>
        <w:trPr>
          <w:trHeight w:val="170"/>
        </w:trPr>
        <w:tc>
          <w:tcPr>
            <w:tcW w:w="40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20" w:type="dxa"/>
            <w:vAlign w:val="bottom"/>
            <w:gridSpan w:val="6"/>
            <w:vMerge w:val="continue"/>
          </w:tcPr>
          <w:p>
            <w:pPr>
              <w:spacing w:after="0"/>
              <w:rPr>
                <w:sz w:val="14"/>
                <w:szCs w:val="14"/>
                <w:color w:val="auto"/>
              </w:rPr>
            </w:pPr>
          </w:p>
        </w:tc>
        <w:tc>
          <w:tcPr>
            <w:tcW w:w="1280" w:type="dxa"/>
            <w:vAlign w:val="bottom"/>
            <w:gridSpan w:val="2"/>
          </w:tcPr>
          <w:p>
            <w:pPr>
              <w:jc w:val="center"/>
              <w:ind w:left="73"/>
              <w:spacing w:after="0" w:line="170" w:lineRule="exact"/>
              <w:rPr>
                <w:sz w:val="20"/>
                <w:szCs w:val="20"/>
                <w:color w:val="auto"/>
              </w:rPr>
            </w:pPr>
            <w:r>
              <w:rPr>
                <w:rFonts w:ascii="Arial" w:cs="Arial" w:eastAsia="Arial" w:hAnsi="Arial"/>
                <w:sz w:val="17"/>
                <w:szCs w:val="17"/>
                <w:color w:val="auto"/>
                <w:w w:val="91"/>
              </w:rPr>
              <w:t>Interest</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80" w:type="dxa"/>
            <w:vAlign w:val="bottom"/>
            <w:gridSpan w:val="3"/>
          </w:tcPr>
          <w:p>
            <w:pPr>
              <w:jc w:val="center"/>
              <w:spacing w:after="0" w:line="170" w:lineRule="exact"/>
              <w:rPr>
                <w:sz w:val="20"/>
                <w:szCs w:val="20"/>
                <w:color w:val="auto"/>
              </w:rPr>
            </w:pPr>
            <w:r>
              <w:rPr>
                <w:rFonts w:ascii="Arial" w:cs="Arial" w:eastAsia="Arial" w:hAnsi="Arial"/>
                <w:sz w:val="17"/>
                <w:szCs w:val="17"/>
                <w:color w:val="auto"/>
                <w:w w:val="93"/>
              </w:rPr>
              <w:t>Conversion</w:t>
            </w: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40" w:type="dxa"/>
            <w:vAlign w:val="bottom"/>
            <w:gridSpan w:val="4"/>
            <w:vMerge w:val="restart"/>
          </w:tcPr>
          <w:p>
            <w:pPr>
              <w:ind w:left="240"/>
              <w:spacing w:after="0"/>
              <w:rPr>
                <w:sz w:val="20"/>
                <w:szCs w:val="20"/>
                <w:color w:val="auto"/>
              </w:rPr>
            </w:pPr>
            <w:r>
              <w:rPr>
                <w:rFonts w:ascii="Arial" w:cs="Arial" w:eastAsia="Arial" w:hAnsi="Arial"/>
                <w:sz w:val="17"/>
                <w:szCs w:val="17"/>
                <w:color w:val="auto"/>
              </w:rPr>
              <w:t>Discount Rate</w:t>
            </w: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402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gridSpan w:val="3"/>
          </w:tcPr>
          <w:p>
            <w:pPr>
              <w:jc w:val="right"/>
              <w:ind w:right="340"/>
              <w:spacing w:after="0"/>
              <w:rPr>
                <w:sz w:val="20"/>
                <w:szCs w:val="20"/>
                <w:color w:val="auto"/>
              </w:rPr>
            </w:pPr>
            <w:r>
              <w:rPr>
                <w:rFonts w:ascii="Arial" w:cs="Arial" w:eastAsia="Arial" w:hAnsi="Arial"/>
                <w:sz w:val="17"/>
                <w:szCs w:val="17"/>
                <w:color w:val="auto"/>
              </w:rPr>
              <w:t>Volatility</w:t>
            </w:r>
          </w:p>
        </w:tc>
        <w:tc>
          <w:tcPr>
            <w:tcW w:w="100" w:type="dxa"/>
            <w:vAlign w:val="bottom"/>
            <w:tcBorders>
              <w:bottom w:val="single" w:sz="8" w:color="CCEEFF"/>
            </w:tcBorders>
            <w:gridSpan w:val="2"/>
          </w:tcPr>
          <w:p>
            <w:pPr>
              <w:spacing w:after="0"/>
              <w:rPr>
                <w:sz w:val="19"/>
                <w:szCs w:val="19"/>
                <w:color w:val="auto"/>
              </w:rPr>
            </w:pPr>
          </w:p>
        </w:tc>
        <w:tc>
          <w:tcPr>
            <w:tcW w:w="1280" w:type="dxa"/>
            <w:vAlign w:val="bottom"/>
            <w:tcBorders>
              <w:bottom w:val="single" w:sz="8" w:color="auto"/>
            </w:tcBorders>
            <w:gridSpan w:val="2"/>
          </w:tcPr>
          <w:p>
            <w:pPr>
              <w:jc w:val="center"/>
              <w:ind w:left="73"/>
              <w:spacing w:after="0"/>
              <w:rPr>
                <w:sz w:val="20"/>
                <w:szCs w:val="20"/>
                <w:color w:val="auto"/>
              </w:rPr>
            </w:pPr>
            <w:r>
              <w:rPr>
                <w:rFonts w:ascii="Arial" w:cs="Arial" w:eastAsia="Arial" w:hAnsi="Arial"/>
                <w:sz w:val="17"/>
                <w:szCs w:val="17"/>
                <w:color w:val="auto"/>
                <w:w w:val="88"/>
              </w:rPr>
              <w:t>Rate</w:t>
            </w:r>
          </w:p>
        </w:tc>
        <w:tc>
          <w:tcPr>
            <w:tcW w:w="10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1280" w:type="dxa"/>
            <w:vAlign w:val="bottom"/>
            <w:tcBorders>
              <w:bottom w:val="single" w:sz="8" w:color="auto"/>
            </w:tcBorders>
            <w:gridSpan w:val="3"/>
          </w:tcPr>
          <w:p>
            <w:pPr>
              <w:jc w:val="center"/>
              <w:spacing w:after="0"/>
              <w:rPr>
                <w:sz w:val="20"/>
                <w:szCs w:val="20"/>
                <w:color w:val="auto"/>
              </w:rPr>
            </w:pPr>
            <w:r>
              <w:rPr>
                <w:rFonts w:ascii="Arial" w:cs="Arial" w:eastAsia="Arial" w:hAnsi="Arial"/>
                <w:sz w:val="17"/>
                <w:szCs w:val="17"/>
                <w:color w:val="auto"/>
                <w:w w:val="92"/>
              </w:rPr>
              <w:t>Price</w:t>
            </w:r>
          </w:p>
        </w:tc>
        <w:tc>
          <w:tcPr>
            <w:tcW w:w="20" w:type="dxa"/>
            <w:vAlign w:val="bottom"/>
            <w:tcBorders>
              <w:bottom w:val="single" w:sz="8" w:color="auto"/>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1440" w:type="dxa"/>
            <w:vAlign w:val="bottom"/>
            <w:tcBorders>
              <w:bottom w:val="single" w:sz="8" w:color="auto"/>
            </w:tcBorders>
            <w:gridSpan w:val="4"/>
            <w:vMerge w:val="continue"/>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130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7"/>
                <w:szCs w:val="17"/>
                <w:color w:val="auto"/>
              </w:rPr>
              <w:t>Common Stock</w:t>
            </w:r>
          </w:p>
        </w:tc>
        <w:tc>
          <w:tcPr>
            <w:tcW w:w="0" w:type="dxa"/>
            <w:vAlign w:val="bottom"/>
          </w:tcPr>
          <w:p>
            <w:pPr>
              <w:spacing w:after="0"/>
              <w:rPr>
                <w:sz w:val="1"/>
                <w:szCs w:val="1"/>
                <w:color w:val="auto"/>
              </w:rPr>
            </w:pPr>
          </w:p>
        </w:tc>
      </w:tr>
      <w:tr>
        <w:trPr>
          <w:trHeight w:val="151"/>
        </w:trPr>
        <w:tc>
          <w:tcPr>
            <w:tcW w:w="4060" w:type="dxa"/>
            <w:vAlign w:val="bottom"/>
            <w:gridSpan w:val="2"/>
            <w:shd w:val="clear" w:color="auto" w:fill="CCEEFF"/>
          </w:tcPr>
          <w:p>
            <w:pPr>
              <w:ind w:left="20"/>
              <w:spacing w:after="0" w:line="151" w:lineRule="exact"/>
              <w:rPr>
                <w:sz w:val="20"/>
                <w:szCs w:val="20"/>
                <w:color w:val="auto"/>
              </w:rPr>
            </w:pPr>
            <w:r>
              <w:rPr>
                <w:rFonts w:ascii="Arial" w:cs="Arial" w:eastAsia="Arial" w:hAnsi="Arial"/>
                <w:sz w:val="17"/>
                <w:szCs w:val="17"/>
                <w:color w:val="auto"/>
                <w:w w:val="99"/>
              </w:rPr>
              <w:t>Compound embedded derivative with the 2013 8.00%</w:t>
            </w:r>
          </w:p>
        </w:tc>
        <w:tc>
          <w:tcPr>
            <w:tcW w:w="280" w:type="dxa"/>
            <w:vAlign w:val="bottom"/>
            <w:shd w:val="clear" w:color="auto" w:fill="CCEEFF"/>
          </w:tcPr>
          <w:p>
            <w:pPr>
              <w:spacing w:after="0"/>
              <w:rPr>
                <w:sz w:val="13"/>
                <w:szCs w:val="13"/>
                <w:color w:val="auto"/>
              </w:rPr>
            </w:pPr>
          </w:p>
        </w:tc>
        <w:tc>
          <w:tcPr>
            <w:tcW w:w="1040" w:type="dxa"/>
            <w:vAlign w:val="bottom"/>
            <w:gridSpan w:val="3"/>
            <w:vMerge w:val="restart"/>
            <w:shd w:val="clear" w:color="auto" w:fill="CCEEFF"/>
          </w:tcPr>
          <w:p>
            <w:pPr>
              <w:jc w:val="right"/>
              <w:ind w:right="20"/>
              <w:spacing w:after="0"/>
              <w:rPr>
                <w:sz w:val="20"/>
                <w:szCs w:val="20"/>
                <w:color w:val="auto"/>
              </w:rPr>
            </w:pPr>
            <w:r>
              <w:rPr>
                <w:rFonts w:ascii="Arial" w:cs="Arial" w:eastAsia="Arial" w:hAnsi="Arial"/>
                <w:sz w:val="17"/>
                <w:szCs w:val="17"/>
                <w:color w:val="auto"/>
                <w:w w:val="97"/>
              </w:rPr>
              <w:t>125% - 146%</w:t>
            </w:r>
          </w:p>
        </w:tc>
        <w:tc>
          <w:tcPr>
            <w:tcW w:w="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420" w:type="dxa"/>
            <w:vAlign w:val="bottom"/>
            <w:gridSpan w:val="4"/>
            <w:vMerge w:val="restart"/>
            <w:shd w:val="clear" w:color="auto" w:fill="CCEEFF"/>
          </w:tcPr>
          <w:p>
            <w:pPr>
              <w:jc w:val="right"/>
              <w:ind w:right="20"/>
              <w:spacing w:after="0"/>
              <w:rPr>
                <w:sz w:val="20"/>
                <w:szCs w:val="20"/>
                <w:color w:val="auto"/>
              </w:rPr>
            </w:pPr>
            <w:r>
              <w:rPr>
                <w:rFonts w:ascii="Arial" w:cs="Arial" w:eastAsia="Arial" w:hAnsi="Arial"/>
                <w:sz w:val="17"/>
                <w:szCs w:val="17"/>
                <w:color w:val="auto"/>
              </w:rPr>
              <w:t>0.2 %</w:t>
            </w:r>
          </w:p>
        </w:tc>
        <w:tc>
          <w:tcPr>
            <w:tcW w:w="1380" w:type="dxa"/>
            <w:vAlign w:val="bottom"/>
            <w:gridSpan w:val="5"/>
            <w:vMerge w:val="restart"/>
            <w:shd w:val="clear" w:color="auto" w:fill="CCEEFF"/>
          </w:tcPr>
          <w:p>
            <w:pPr>
              <w:jc w:val="right"/>
              <w:spacing w:after="0"/>
              <w:rPr>
                <w:sz w:val="20"/>
                <w:szCs w:val="20"/>
                <w:color w:val="auto"/>
              </w:rPr>
            </w:pPr>
            <w:r>
              <w:rPr>
                <w:rFonts w:ascii="Arial" w:cs="Arial" w:eastAsia="Arial" w:hAnsi="Arial"/>
                <w:sz w:val="17"/>
                <w:szCs w:val="17"/>
                <w:color w:val="auto"/>
              </w:rPr>
              <w:t>$0.69</w:t>
            </w:r>
          </w:p>
        </w:tc>
        <w:tc>
          <w:tcPr>
            <w:tcW w:w="2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440" w:type="dxa"/>
            <w:vAlign w:val="bottom"/>
            <w:gridSpan w:val="4"/>
            <w:vMerge w:val="restart"/>
            <w:shd w:val="clear" w:color="auto" w:fill="CCEEFF"/>
          </w:tcPr>
          <w:p>
            <w:pPr>
              <w:jc w:val="right"/>
              <w:ind w:right="20"/>
              <w:spacing w:after="0"/>
              <w:rPr>
                <w:sz w:val="20"/>
                <w:szCs w:val="20"/>
                <w:color w:val="auto"/>
              </w:rPr>
            </w:pPr>
            <w:r>
              <w:rPr>
                <w:rFonts w:ascii="Arial" w:cs="Arial" w:eastAsia="Arial" w:hAnsi="Arial"/>
                <w:sz w:val="17"/>
                <w:szCs w:val="17"/>
                <w:color w:val="auto"/>
              </w:rPr>
              <w:t>17 %</w:t>
            </w:r>
          </w:p>
        </w:tc>
        <w:tc>
          <w:tcPr>
            <w:tcW w:w="6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30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7"/>
                <w:szCs w:val="17"/>
                <w:color w:val="auto"/>
              </w:rPr>
              <w:t>$1.67</w:t>
            </w:r>
          </w:p>
        </w:tc>
        <w:tc>
          <w:tcPr>
            <w:tcW w:w="0" w:type="dxa"/>
            <w:vAlign w:val="bottom"/>
          </w:tcPr>
          <w:p>
            <w:pPr>
              <w:spacing w:after="0"/>
              <w:rPr>
                <w:sz w:val="1"/>
                <w:szCs w:val="1"/>
                <w:color w:val="auto"/>
              </w:rPr>
            </w:pPr>
          </w:p>
        </w:tc>
      </w:tr>
      <w:tr>
        <w:trPr>
          <w:trHeight w:val="221"/>
        </w:trPr>
        <w:tc>
          <w:tcPr>
            <w:tcW w:w="434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Notes</w:t>
            </w:r>
          </w:p>
        </w:tc>
        <w:tc>
          <w:tcPr>
            <w:tcW w:w="1040" w:type="dxa"/>
            <w:vAlign w:val="bottom"/>
            <w:gridSpan w:val="3"/>
            <w:vMerge w:val="continue"/>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420" w:type="dxa"/>
            <w:vAlign w:val="bottom"/>
            <w:gridSpan w:val="4"/>
            <w:vMerge w:val="continue"/>
            <w:shd w:val="clear" w:color="auto" w:fill="CCEEFF"/>
          </w:tcPr>
          <w:p>
            <w:pPr>
              <w:spacing w:after="0"/>
              <w:rPr>
                <w:sz w:val="19"/>
                <w:szCs w:val="19"/>
                <w:color w:val="auto"/>
              </w:rPr>
            </w:pPr>
          </w:p>
        </w:tc>
        <w:tc>
          <w:tcPr>
            <w:tcW w:w="1380" w:type="dxa"/>
            <w:vAlign w:val="bottom"/>
            <w:gridSpan w:val="5"/>
            <w:vMerge w:val="continue"/>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440" w:type="dxa"/>
            <w:vAlign w:val="bottom"/>
            <w:gridSpan w:val="4"/>
            <w:vMerge w:val="continue"/>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300" w:type="dxa"/>
            <w:vAlign w:val="bottom"/>
            <w:gridSpan w:val="2"/>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575"/>
        </w:trPr>
        <w:tc>
          <w:tcPr>
            <w:tcW w:w="402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5"/>
          </w:tcPr>
          <w:p>
            <w:pPr>
              <w:jc w:val="center"/>
              <w:spacing w:after="0"/>
              <w:rPr>
                <w:sz w:val="20"/>
                <w:szCs w:val="20"/>
                <w:color w:val="auto"/>
              </w:rPr>
            </w:pPr>
            <w:r>
              <w:rPr>
                <w:rFonts w:ascii="Arial" w:cs="Arial" w:eastAsia="Arial" w:hAnsi="Arial"/>
                <w:sz w:val="17"/>
                <w:szCs w:val="17"/>
                <w:color w:val="auto"/>
                <w:w w:val="91"/>
              </w:rPr>
              <w:t>December 31, 2020</w:t>
            </w:r>
          </w:p>
        </w:tc>
        <w:tc>
          <w:tcPr>
            <w:tcW w:w="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40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20" w:type="dxa"/>
            <w:vAlign w:val="bottom"/>
            <w:gridSpan w:val="6"/>
            <w:vMerge w:val="restart"/>
          </w:tcPr>
          <w:p>
            <w:pPr>
              <w:jc w:val="center"/>
              <w:ind w:right="200"/>
              <w:spacing w:after="0"/>
              <w:rPr>
                <w:sz w:val="20"/>
                <w:szCs w:val="20"/>
                <w:color w:val="auto"/>
              </w:rPr>
            </w:pPr>
            <w:r>
              <w:rPr>
                <w:rFonts w:ascii="Arial" w:cs="Arial" w:eastAsia="Arial" w:hAnsi="Arial"/>
                <w:sz w:val="17"/>
                <w:szCs w:val="17"/>
                <w:color w:val="auto"/>
                <w:w w:val="90"/>
              </w:rPr>
              <w:t>Stock Price</w:t>
            </w:r>
          </w:p>
        </w:tc>
        <w:tc>
          <w:tcPr>
            <w:tcW w:w="1280" w:type="dxa"/>
            <w:vAlign w:val="bottom"/>
            <w:gridSpan w:val="2"/>
          </w:tcPr>
          <w:p>
            <w:pPr>
              <w:jc w:val="center"/>
              <w:spacing w:after="0" w:line="164" w:lineRule="exact"/>
              <w:rPr>
                <w:sz w:val="20"/>
                <w:szCs w:val="20"/>
                <w:color w:val="auto"/>
              </w:rPr>
            </w:pPr>
            <w:r>
              <w:rPr>
                <w:rFonts w:ascii="Arial" w:cs="Arial" w:eastAsia="Arial" w:hAnsi="Arial"/>
                <w:sz w:val="17"/>
                <w:szCs w:val="17"/>
                <w:color w:val="auto"/>
                <w:w w:val="92"/>
              </w:rPr>
              <w:t>Risk-Free</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80" w:type="dxa"/>
            <w:vAlign w:val="bottom"/>
            <w:gridSpan w:val="3"/>
          </w:tcPr>
          <w:p>
            <w:pPr>
              <w:jc w:val="center"/>
              <w:ind w:right="60"/>
              <w:spacing w:after="0" w:line="164" w:lineRule="exact"/>
              <w:rPr>
                <w:sz w:val="20"/>
                <w:szCs w:val="20"/>
                <w:color w:val="auto"/>
              </w:rPr>
            </w:pPr>
            <w:r>
              <w:rPr>
                <w:rFonts w:ascii="Arial" w:cs="Arial" w:eastAsia="Arial" w:hAnsi="Arial"/>
                <w:sz w:val="17"/>
                <w:szCs w:val="17"/>
                <w:color w:val="auto"/>
                <w:w w:val="94"/>
              </w:rPr>
              <w:t>Note</w:t>
            </w: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2"/>
            <w:vMerge w:val="restart"/>
          </w:tcPr>
          <w:p>
            <w:pPr>
              <w:jc w:val="center"/>
              <w:ind w:right="80"/>
              <w:spacing w:after="0"/>
              <w:rPr>
                <w:sz w:val="20"/>
                <w:szCs w:val="20"/>
                <w:color w:val="auto"/>
              </w:rPr>
            </w:pPr>
            <w:r>
              <w:rPr>
                <w:rFonts w:ascii="Arial" w:cs="Arial" w:eastAsia="Arial" w:hAnsi="Arial"/>
                <w:sz w:val="17"/>
                <w:szCs w:val="17"/>
                <w:color w:val="auto"/>
                <w:w w:val="96"/>
              </w:rPr>
              <w:t>Market Price of</w:t>
            </w:r>
          </w:p>
        </w:tc>
        <w:tc>
          <w:tcPr>
            <w:tcW w:w="0" w:type="dxa"/>
            <w:vAlign w:val="bottom"/>
          </w:tcPr>
          <w:p>
            <w:pPr>
              <w:spacing w:after="0"/>
              <w:rPr>
                <w:sz w:val="1"/>
                <w:szCs w:val="1"/>
                <w:color w:val="auto"/>
              </w:rPr>
            </w:pPr>
          </w:p>
        </w:tc>
      </w:tr>
      <w:tr>
        <w:trPr>
          <w:trHeight w:val="170"/>
        </w:trPr>
        <w:tc>
          <w:tcPr>
            <w:tcW w:w="40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20" w:type="dxa"/>
            <w:vAlign w:val="bottom"/>
            <w:gridSpan w:val="6"/>
            <w:vMerge w:val="continue"/>
          </w:tcPr>
          <w:p>
            <w:pPr>
              <w:spacing w:after="0"/>
              <w:rPr>
                <w:sz w:val="14"/>
                <w:szCs w:val="14"/>
                <w:color w:val="auto"/>
              </w:rPr>
            </w:pPr>
          </w:p>
        </w:tc>
        <w:tc>
          <w:tcPr>
            <w:tcW w:w="1280" w:type="dxa"/>
            <w:vAlign w:val="bottom"/>
            <w:gridSpan w:val="2"/>
          </w:tcPr>
          <w:p>
            <w:pPr>
              <w:jc w:val="center"/>
              <w:spacing w:after="0" w:line="170" w:lineRule="exact"/>
              <w:rPr>
                <w:sz w:val="20"/>
                <w:szCs w:val="20"/>
                <w:color w:val="auto"/>
              </w:rPr>
            </w:pPr>
            <w:r>
              <w:rPr>
                <w:rFonts w:ascii="Arial" w:cs="Arial" w:eastAsia="Arial" w:hAnsi="Arial"/>
                <w:sz w:val="17"/>
                <w:szCs w:val="17"/>
                <w:color w:val="auto"/>
                <w:w w:val="91"/>
              </w:rPr>
              <w:t>Interest</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80" w:type="dxa"/>
            <w:vAlign w:val="bottom"/>
            <w:gridSpan w:val="3"/>
          </w:tcPr>
          <w:p>
            <w:pPr>
              <w:jc w:val="center"/>
              <w:ind w:right="80"/>
              <w:spacing w:after="0" w:line="170" w:lineRule="exact"/>
              <w:rPr>
                <w:sz w:val="20"/>
                <w:szCs w:val="20"/>
                <w:color w:val="auto"/>
              </w:rPr>
            </w:pPr>
            <w:r>
              <w:rPr>
                <w:rFonts w:ascii="Arial" w:cs="Arial" w:eastAsia="Arial" w:hAnsi="Arial"/>
                <w:sz w:val="17"/>
                <w:szCs w:val="17"/>
                <w:color w:val="auto"/>
                <w:w w:val="93"/>
              </w:rPr>
              <w:t>Conversion</w:t>
            </w: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0" w:type="dxa"/>
            <w:vAlign w:val="bottom"/>
            <w:gridSpan w:val="2"/>
            <w:vMerge w:val="restart"/>
          </w:tcPr>
          <w:p>
            <w:pPr>
              <w:ind w:left="180"/>
              <w:spacing w:after="0"/>
              <w:rPr>
                <w:sz w:val="20"/>
                <w:szCs w:val="20"/>
                <w:color w:val="auto"/>
              </w:rPr>
            </w:pPr>
            <w:r>
              <w:rPr>
                <w:rFonts w:ascii="Arial" w:cs="Arial" w:eastAsia="Arial" w:hAnsi="Arial"/>
                <w:sz w:val="17"/>
                <w:szCs w:val="17"/>
                <w:color w:val="auto"/>
              </w:rPr>
              <w:t>Discount Rate</w:t>
            </w:r>
          </w:p>
        </w:tc>
        <w:tc>
          <w:tcPr>
            <w:tcW w:w="40" w:type="dxa"/>
            <w:vAlign w:val="bottom"/>
            <w:gridSpan w:val="2"/>
            <w:vMerge w:val="restart"/>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4020" w:type="dxa"/>
            <w:vAlign w:val="bottom"/>
            <w:tcBorders>
              <w:bottom w:val="single" w:sz="8" w:color="CCEEFF"/>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gridSpan w:val="2"/>
          </w:tcPr>
          <w:p>
            <w:pPr>
              <w:jc w:val="center"/>
              <w:ind w:right="233"/>
              <w:spacing w:after="0"/>
              <w:rPr>
                <w:sz w:val="20"/>
                <w:szCs w:val="20"/>
                <w:color w:val="auto"/>
              </w:rPr>
            </w:pPr>
            <w:r>
              <w:rPr>
                <w:rFonts w:ascii="Arial" w:cs="Arial" w:eastAsia="Arial" w:hAnsi="Arial"/>
                <w:sz w:val="17"/>
                <w:szCs w:val="17"/>
                <w:color w:val="auto"/>
              </w:rPr>
              <w:t>Volatility</w:t>
            </w:r>
          </w:p>
        </w:tc>
        <w:tc>
          <w:tcPr>
            <w:tcW w:w="100" w:type="dxa"/>
            <w:vAlign w:val="bottom"/>
            <w:tcBorders>
              <w:bottom w:val="single" w:sz="8" w:color="CCEEFF"/>
            </w:tcBorders>
            <w:gridSpan w:val="2"/>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gridSpan w:val="2"/>
          </w:tcPr>
          <w:p>
            <w:pPr>
              <w:jc w:val="center"/>
              <w:spacing w:after="0"/>
              <w:rPr>
                <w:sz w:val="20"/>
                <w:szCs w:val="20"/>
                <w:color w:val="auto"/>
              </w:rPr>
            </w:pPr>
            <w:r>
              <w:rPr>
                <w:rFonts w:ascii="Arial" w:cs="Arial" w:eastAsia="Arial" w:hAnsi="Arial"/>
                <w:sz w:val="17"/>
                <w:szCs w:val="17"/>
                <w:color w:val="auto"/>
                <w:w w:val="88"/>
              </w:rPr>
              <w:t>Rate</w:t>
            </w:r>
          </w:p>
        </w:tc>
        <w:tc>
          <w:tcPr>
            <w:tcW w:w="100" w:type="dxa"/>
            <w:vAlign w:val="bottom"/>
            <w:tcBorders>
              <w:bottom w:val="single" w:sz="8" w:color="auto"/>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gridSpan w:val="2"/>
          </w:tcPr>
          <w:p>
            <w:pPr>
              <w:jc w:val="center"/>
              <w:ind w:right="60"/>
              <w:spacing w:after="0"/>
              <w:rPr>
                <w:sz w:val="20"/>
                <w:szCs w:val="20"/>
                <w:color w:val="auto"/>
              </w:rPr>
            </w:pPr>
            <w:r>
              <w:rPr>
                <w:rFonts w:ascii="Arial" w:cs="Arial" w:eastAsia="Arial" w:hAnsi="Arial"/>
                <w:sz w:val="17"/>
                <w:szCs w:val="17"/>
                <w:color w:val="auto"/>
                <w:w w:val="92"/>
              </w:rPr>
              <w:t>Price</w:t>
            </w:r>
          </w:p>
        </w:tc>
        <w:tc>
          <w:tcPr>
            <w:tcW w:w="20" w:type="dxa"/>
            <w:vAlign w:val="bottom"/>
            <w:tcBorders>
              <w:bottom w:val="single" w:sz="8" w:color="CCEEFF"/>
            </w:tcBorders>
          </w:tcPr>
          <w:p>
            <w:pPr>
              <w:spacing w:after="0"/>
              <w:rPr>
                <w:sz w:val="19"/>
                <w:szCs w:val="19"/>
                <w:color w:val="auto"/>
              </w:rPr>
            </w:pPr>
          </w:p>
        </w:tc>
        <w:tc>
          <w:tcPr>
            <w:tcW w:w="20" w:type="dxa"/>
            <w:vAlign w:val="bottom"/>
            <w:tcBorders>
              <w:bottom w:val="single" w:sz="8" w:color="CCEEFF"/>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gridSpan w:val="2"/>
            <w:vMerge w:val="continue"/>
          </w:tcPr>
          <w:p>
            <w:pPr>
              <w:spacing w:after="0"/>
              <w:rPr>
                <w:sz w:val="19"/>
                <w:szCs w:val="19"/>
                <w:color w:val="auto"/>
              </w:rPr>
            </w:pPr>
          </w:p>
        </w:tc>
        <w:tc>
          <w:tcPr>
            <w:tcW w:w="40" w:type="dxa"/>
            <w:vAlign w:val="bottom"/>
            <w:tcBorders>
              <w:bottom w:val="single" w:sz="8" w:color="CCEEFF"/>
            </w:tcBorders>
            <w:gridSpan w:val="2"/>
            <w:vMerge w:val="continue"/>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7"/>
                <w:szCs w:val="17"/>
                <w:color w:val="auto"/>
                <w:w w:val="92"/>
              </w:rPr>
              <w:t>Common Stock</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1"/>
        </w:trPr>
        <w:tc>
          <w:tcPr>
            <w:tcW w:w="4020" w:type="dxa"/>
            <w:vAlign w:val="bottom"/>
            <w:shd w:val="clear" w:color="auto" w:fill="CCEEFF"/>
          </w:tcPr>
          <w:p>
            <w:pPr>
              <w:ind w:left="20"/>
              <w:spacing w:after="0" w:line="151" w:lineRule="exact"/>
              <w:rPr>
                <w:sz w:val="20"/>
                <w:szCs w:val="20"/>
                <w:color w:val="auto"/>
              </w:rPr>
            </w:pPr>
            <w:r>
              <w:rPr>
                <w:rFonts w:ascii="Arial" w:cs="Arial" w:eastAsia="Arial" w:hAnsi="Arial"/>
                <w:sz w:val="17"/>
                <w:szCs w:val="17"/>
                <w:color w:val="auto"/>
                <w:w w:val="98"/>
              </w:rPr>
              <w:t>Compound embedded derivative with the 2013 8.00%</w:t>
            </w:r>
          </w:p>
        </w:tc>
        <w:tc>
          <w:tcPr>
            <w:tcW w:w="320" w:type="dxa"/>
            <w:vAlign w:val="bottom"/>
            <w:gridSpan w:val="2"/>
            <w:shd w:val="clear" w:color="auto" w:fill="CCEEFF"/>
          </w:tcPr>
          <w:p>
            <w:pPr>
              <w:spacing w:after="0"/>
              <w:rPr>
                <w:sz w:val="13"/>
                <w:szCs w:val="13"/>
                <w:color w:val="auto"/>
              </w:rPr>
            </w:pPr>
          </w:p>
        </w:tc>
        <w:tc>
          <w:tcPr>
            <w:tcW w:w="980" w:type="dxa"/>
            <w:vAlign w:val="bottom"/>
            <w:gridSpan w:val="2"/>
            <w:vMerge w:val="restart"/>
            <w:shd w:val="clear" w:color="auto" w:fill="CCEEFF"/>
          </w:tcPr>
          <w:p>
            <w:pPr>
              <w:jc w:val="right"/>
              <w:spacing w:after="0"/>
              <w:rPr>
                <w:sz w:val="20"/>
                <w:szCs w:val="20"/>
                <w:color w:val="auto"/>
              </w:rPr>
            </w:pPr>
            <w:r>
              <w:rPr>
                <w:rFonts w:ascii="Arial" w:cs="Arial" w:eastAsia="Arial" w:hAnsi="Arial"/>
                <w:sz w:val="17"/>
                <w:szCs w:val="17"/>
                <w:color w:val="auto"/>
              </w:rPr>
              <w:t>40% - 85%</w:t>
            </w:r>
          </w:p>
        </w:tc>
        <w:tc>
          <w:tcPr>
            <w:tcW w:w="6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380" w:type="dxa"/>
            <w:vAlign w:val="bottom"/>
            <w:gridSpan w:val="3"/>
            <w:vMerge w:val="restart"/>
            <w:shd w:val="clear" w:color="auto" w:fill="CCEEFF"/>
          </w:tcPr>
          <w:p>
            <w:pPr>
              <w:ind w:left="940"/>
              <w:spacing w:after="0"/>
              <w:rPr>
                <w:sz w:val="20"/>
                <w:szCs w:val="20"/>
                <w:color w:val="auto"/>
              </w:rPr>
            </w:pPr>
            <w:r>
              <w:rPr>
                <w:rFonts w:ascii="Arial" w:cs="Arial" w:eastAsia="Arial" w:hAnsi="Arial"/>
                <w:sz w:val="17"/>
                <w:szCs w:val="17"/>
                <w:color w:val="auto"/>
                <w:w w:val="96"/>
              </w:rPr>
              <w:t>0.1 %</w:t>
            </w:r>
          </w:p>
        </w:tc>
        <w:tc>
          <w:tcPr>
            <w:tcW w:w="40" w:type="dxa"/>
            <w:vAlign w:val="bottom"/>
            <w:shd w:val="clear" w:color="auto" w:fill="CCEEFF"/>
          </w:tcPr>
          <w:p>
            <w:pPr>
              <w:spacing w:after="0"/>
              <w:rPr>
                <w:sz w:val="13"/>
                <w:szCs w:val="13"/>
                <w:color w:val="auto"/>
              </w:rPr>
            </w:pPr>
          </w:p>
        </w:tc>
        <w:tc>
          <w:tcPr>
            <w:tcW w:w="1360" w:type="dxa"/>
            <w:vAlign w:val="bottom"/>
            <w:gridSpan w:val="4"/>
            <w:vMerge w:val="restart"/>
            <w:shd w:val="clear" w:color="auto" w:fill="CCEEFF"/>
          </w:tcPr>
          <w:p>
            <w:pPr>
              <w:jc w:val="center"/>
              <w:ind w:left="833"/>
              <w:spacing w:after="0"/>
              <w:rPr>
                <w:sz w:val="20"/>
                <w:szCs w:val="20"/>
                <w:color w:val="auto"/>
              </w:rPr>
            </w:pPr>
            <w:r>
              <w:rPr>
                <w:rFonts w:ascii="Arial" w:cs="Arial" w:eastAsia="Arial" w:hAnsi="Arial"/>
                <w:sz w:val="17"/>
                <w:szCs w:val="17"/>
                <w:color w:val="auto"/>
                <w:w w:val="93"/>
              </w:rPr>
              <w:t>$0.69</w:t>
            </w:r>
          </w:p>
        </w:tc>
        <w:tc>
          <w:tcPr>
            <w:tcW w:w="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400" w:type="dxa"/>
            <w:vAlign w:val="bottom"/>
            <w:gridSpan w:val="2"/>
            <w:vMerge w:val="restart"/>
            <w:shd w:val="clear" w:color="auto" w:fill="CCEEFF"/>
          </w:tcPr>
          <w:p>
            <w:pPr>
              <w:ind w:left="1000"/>
              <w:spacing w:after="0"/>
              <w:rPr>
                <w:sz w:val="20"/>
                <w:szCs w:val="20"/>
                <w:color w:val="auto"/>
              </w:rPr>
            </w:pPr>
            <w:r>
              <w:rPr>
                <w:rFonts w:ascii="Arial" w:cs="Arial" w:eastAsia="Arial" w:hAnsi="Arial"/>
                <w:sz w:val="17"/>
                <w:szCs w:val="17"/>
                <w:color w:val="auto"/>
                <w:w w:val="97"/>
              </w:rPr>
              <w:t>19 %</w:t>
            </w:r>
          </w:p>
        </w:tc>
        <w:tc>
          <w:tcPr>
            <w:tcW w:w="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$0.34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434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Notes</w:t>
            </w:r>
          </w:p>
        </w:tc>
        <w:tc>
          <w:tcPr>
            <w:tcW w:w="980" w:type="dxa"/>
            <w:vAlign w:val="bottom"/>
            <w:gridSpan w:val="2"/>
            <w:vMerge w:val="continue"/>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380" w:type="dxa"/>
            <w:vAlign w:val="bottom"/>
            <w:gridSpan w:val="3"/>
            <w:vMerge w:val="continue"/>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360" w:type="dxa"/>
            <w:vAlign w:val="bottom"/>
            <w:gridSpan w:val="4"/>
            <w:vMerge w:val="continue"/>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400" w:type="dxa"/>
            <w:vAlign w:val="bottom"/>
            <w:gridSpan w:val="2"/>
            <w:vMerge w:val="continue"/>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60" w:type="dxa"/>
            <w:vAlign w:val="bottom"/>
            <w:vMerge w:val="continue"/>
            <w:shd w:val="clear" w:color="auto" w:fill="CCEEFF"/>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107" w:right="339" w:bottom="1440" w:gutter="0" w:footer="0" w:header="0"/>
        </w:sectPr>
      </w:pPr>
    </w:p>
    <w:bookmarkStart w:id="20" w:name="page21"/>
    <w:bookmarkEnd w:id="20"/>
    <w:p>
      <w:pPr>
        <w:spacing w:after="0"/>
        <w:rPr>
          <w:sz w:val="20"/>
          <w:szCs w:val="20"/>
          <w:color w:val="auto"/>
        </w:rPr>
      </w:pPr>
      <w:r>
        <w:rPr>
          <w:rFonts w:ascii="Arial" w:cs="Arial" w:eastAsia="Arial" w:hAnsi="Arial"/>
          <w:sz w:val="17"/>
          <w:szCs w:val="17"/>
          <w:i w:val="1"/>
          <w:iCs w:val="1"/>
          <w:color w:val="auto"/>
        </w:rPr>
        <w:t>2013 8.00% Notes</w:t>
      </w:r>
    </w:p>
    <w:p>
      <w:pPr>
        <w:spacing w:after="0" w:line="249" w:lineRule="exact"/>
        <w:rPr>
          <w:sz w:val="20"/>
          <w:szCs w:val="20"/>
          <w:color w:val="auto"/>
        </w:rPr>
      </w:pPr>
    </w:p>
    <w:p>
      <w:pPr>
        <w:jc w:val="both"/>
        <w:ind w:firstLine="314"/>
        <w:spacing w:after="0" w:line="263" w:lineRule="auto"/>
        <w:rPr>
          <w:sz w:val="20"/>
          <w:szCs w:val="20"/>
          <w:color w:val="auto"/>
        </w:rPr>
      </w:pPr>
      <w:r>
        <w:rPr>
          <w:rFonts w:ascii="Arial" w:cs="Arial" w:eastAsia="Arial" w:hAnsi="Arial"/>
          <w:sz w:val="17"/>
          <w:szCs w:val="17"/>
          <w:color w:val="auto"/>
        </w:rPr>
        <w:t>Fluctuation in the Company’s stock price is a significant driver of the changes in the compound embedded derivative with the 2013 8.00% Notes during each reporting period. As the stock price increases, the value to the holder of the instrument generally increases, thereby increasing the liability on the Company’s condensed consolidated balance sheet. The Company's stock price increased almost 400% from December 31, 2020 to September 30, 2021, driving a significant increase in the liability at September 30, 2021. Stock price volatility is also a significant input used in the fair value measurement of the compound embedded derivative with the 2013 8.00% Notes. The simulated fair value of this liability is sensitive to changes in the expected volatility of the Company's stock price. Increases in expected volatility generally result in a higher fair value measurement.</w:t>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Second Lien Facility Agreement</w:t>
      </w:r>
    </w:p>
    <w:p>
      <w:pPr>
        <w:spacing w:after="0" w:line="249" w:lineRule="exact"/>
        <w:rPr>
          <w:sz w:val="20"/>
          <w:szCs w:val="20"/>
          <w:color w:val="auto"/>
        </w:rPr>
      </w:pPr>
    </w:p>
    <w:p>
      <w:pPr>
        <w:jc w:val="both"/>
        <w:ind w:firstLine="278"/>
        <w:spacing w:after="0" w:line="261" w:lineRule="auto"/>
        <w:rPr>
          <w:sz w:val="20"/>
          <w:szCs w:val="20"/>
          <w:color w:val="auto"/>
        </w:rPr>
      </w:pPr>
      <w:r>
        <w:rPr>
          <w:rFonts w:ascii="Arial" w:cs="Arial" w:eastAsia="Arial" w:hAnsi="Arial"/>
          <w:sz w:val="17"/>
          <w:szCs w:val="17"/>
          <w:color w:val="auto"/>
        </w:rPr>
        <w:t>The compound embedded derivative with the Second Lien Facility Agreement is valued using a probability weighted discounted cash flow model. The most significant observable input used in the fair value measurement is the discount yield, which was 12% and 13% at September 30, 2021 and December 31, 2020, respectively. As of September 30, 2021 and December 31, 2020, the discount yield utilized in the valuation was lower than the blended interest rate of the underlying debt. As a result, the features embedded in the underlying debt resulted in an asset for the Company. When the discount yield decreases and is lower than the blended interest rate of the underlying debt, the fair value of the derivative asset increases. The unobservable inputs used in the fair value measurement include the probability of change of control and the estimated timing and amounts of cash flows associated with certain mandatory prepayments within the debt agreement.</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Rollforward of Recurring Level 3 Assets and Liabilities</w:t>
      </w:r>
    </w:p>
    <w:p>
      <w:pPr>
        <w:spacing w:after="0" w:line="249" w:lineRule="exact"/>
        <w:rPr>
          <w:sz w:val="20"/>
          <w:szCs w:val="20"/>
          <w:color w:val="auto"/>
        </w:rPr>
      </w:pPr>
    </w:p>
    <w:p>
      <w:pPr>
        <w:jc w:val="both"/>
        <w:ind w:firstLine="314"/>
        <w:spacing w:after="0" w:line="288" w:lineRule="auto"/>
        <w:rPr>
          <w:sz w:val="20"/>
          <w:szCs w:val="20"/>
          <w:color w:val="auto"/>
        </w:rPr>
      </w:pPr>
      <w:r>
        <w:rPr>
          <w:rFonts w:ascii="Arial" w:cs="Arial" w:eastAsia="Arial" w:hAnsi="Arial"/>
          <w:sz w:val="17"/>
          <w:szCs w:val="17"/>
          <w:color w:val="auto"/>
        </w:rPr>
        <w:t>The following table presents a rollforward for all assets and liabilities measured at fair value on a recurring basis using significant unobservable inputs (Level 3) (in thousands):</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8420" w:type="dxa"/>
            <w:vAlign w:val="bottom"/>
            <w:shd w:val="clear" w:color="auto" w:fill="CCEEFF"/>
          </w:tcPr>
          <w:p>
            <w:pPr>
              <w:ind w:left="20"/>
              <w:spacing w:after="0"/>
              <w:rPr>
                <w:sz w:val="20"/>
                <w:szCs w:val="20"/>
                <w:color w:val="auto"/>
              </w:rPr>
            </w:pPr>
            <w:r>
              <w:rPr>
                <w:rFonts w:ascii="Arial" w:cs="Arial" w:eastAsia="Arial" w:hAnsi="Arial"/>
                <w:sz w:val="17"/>
                <w:szCs w:val="17"/>
                <w:color w:val="auto"/>
              </w:rPr>
              <w:t>Balance at beginning of period, January 1, 2021 and 2020, respectively</w:t>
            </w:r>
          </w:p>
        </w:tc>
        <w:tc>
          <w:tcPr>
            <w:tcW w:w="460" w:type="dxa"/>
            <w:vAlign w:val="bottom"/>
            <w:shd w:val="clear" w:color="auto" w:fill="CCEEFF"/>
          </w:tcPr>
          <w:p>
            <w:pPr>
              <w:jc w:val="right"/>
              <w:ind w:right="273"/>
              <w:spacing w:after="0"/>
              <w:rPr>
                <w:sz w:val="20"/>
                <w:szCs w:val="20"/>
                <w:color w:val="auto"/>
              </w:rPr>
            </w:pPr>
            <w:r>
              <w:rPr>
                <w:rFonts w:ascii="Arial" w:cs="Arial" w:eastAsia="Arial" w:hAnsi="Arial"/>
                <w:sz w:val="17"/>
                <w:szCs w:val="17"/>
                <w:color w:val="auto"/>
                <w:w w:val="84"/>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163</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73"/>
              <w:spacing w:after="0"/>
              <w:rPr>
                <w:sz w:val="20"/>
                <w:szCs w:val="20"/>
                <w:color w:val="auto"/>
              </w:rPr>
            </w:pPr>
            <w:r>
              <w:rPr>
                <w:rFonts w:ascii="Arial" w:cs="Arial" w:eastAsia="Arial" w:hAnsi="Arial"/>
                <w:sz w:val="17"/>
                <w:szCs w:val="17"/>
                <w:color w:val="auto"/>
                <w:w w:val="84"/>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(3,792)</w:t>
            </w:r>
          </w:p>
        </w:tc>
      </w:tr>
      <w:tr>
        <w:trPr>
          <w:trHeight w:val="222"/>
        </w:trPr>
        <w:tc>
          <w:tcPr>
            <w:tcW w:w="8420" w:type="dxa"/>
            <w:vAlign w:val="bottom"/>
          </w:tcPr>
          <w:p>
            <w:pPr>
              <w:ind w:left="20"/>
              <w:spacing w:after="0"/>
              <w:rPr>
                <w:sz w:val="20"/>
                <w:szCs w:val="20"/>
                <w:color w:val="auto"/>
              </w:rPr>
            </w:pPr>
            <w:r>
              <w:rPr>
                <w:rFonts w:ascii="Arial" w:cs="Arial" w:eastAsia="Arial" w:hAnsi="Arial"/>
                <w:sz w:val="17"/>
                <w:szCs w:val="17"/>
                <w:color w:val="auto"/>
              </w:rPr>
              <w:t>Derivative adjustment related to conversions and exercises</w:t>
            </w:r>
          </w:p>
        </w:tc>
        <w:tc>
          <w:tcPr>
            <w:tcW w:w="460" w:type="dxa"/>
            <w:vAlign w:val="bottom"/>
          </w:tcPr>
          <w:p>
            <w:pPr>
              <w:spacing w:after="0"/>
              <w:rPr>
                <w:sz w:val="19"/>
                <w:szCs w:val="19"/>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4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1,058</w:t>
            </w:r>
          </w:p>
        </w:tc>
      </w:tr>
      <w:tr>
        <w:trPr>
          <w:trHeight w:val="222"/>
        </w:trPr>
        <w:tc>
          <w:tcPr>
            <w:tcW w:w="8420" w:type="dxa"/>
            <w:vAlign w:val="bottom"/>
            <w:shd w:val="clear" w:color="auto" w:fill="CCEEFF"/>
          </w:tcPr>
          <w:p>
            <w:pPr>
              <w:ind w:left="20"/>
              <w:spacing w:after="0"/>
              <w:rPr>
                <w:sz w:val="20"/>
                <w:szCs w:val="20"/>
                <w:color w:val="auto"/>
              </w:rPr>
            </w:pPr>
            <w:r>
              <w:rPr>
                <w:rFonts w:ascii="Arial" w:cs="Arial" w:eastAsia="Arial" w:hAnsi="Arial"/>
                <w:sz w:val="17"/>
                <w:szCs w:val="17"/>
                <w:color w:val="auto"/>
              </w:rPr>
              <w:t>Unrealized (loss) gain, included in derivative gain (loss)</w:t>
            </w:r>
          </w:p>
        </w:tc>
        <w:tc>
          <w:tcPr>
            <w:tcW w:w="4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(2,210)</w:t>
            </w:r>
          </w:p>
        </w:tc>
        <w:tc>
          <w:tcPr>
            <w:tcW w:w="10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2,897</w:t>
            </w:r>
          </w:p>
        </w:tc>
      </w:tr>
      <w:tr>
        <w:trPr>
          <w:trHeight w:val="215"/>
        </w:trPr>
        <w:tc>
          <w:tcPr>
            <w:tcW w:w="8420" w:type="dxa"/>
            <w:vAlign w:val="bottom"/>
          </w:tcPr>
          <w:p>
            <w:pPr>
              <w:ind w:left="20"/>
              <w:spacing w:after="0"/>
              <w:rPr>
                <w:sz w:val="20"/>
                <w:szCs w:val="20"/>
                <w:color w:val="auto"/>
              </w:rPr>
            </w:pPr>
            <w:r>
              <w:rPr>
                <w:rFonts w:ascii="Arial" w:cs="Arial" w:eastAsia="Arial" w:hAnsi="Arial"/>
                <w:sz w:val="17"/>
                <w:szCs w:val="17"/>
                <w:color w:val="auto"/>
              </w:rPr>
              <w:t>Balance at end of period, September 30, 2021 and December 31, 2020, respectively</w:t>
            </w:r>
          </w:p>
        </w:tc>
        <w:tc>
          <w:tcPr>
            <w:tcW w:w="460" w:type="dxa"/>
            <w:vAlign w:val="bottom"/>
            <w:tcBorders>
              <w:bottom w:val="single" w:sz="8" w:color="auto"/>
            </w:tcBorders>
          </w:tcPr>
          <w:p>
            <w:pPr>
              <w:jc w:val="right"/>
              <w:ind w:right="273"/>
              <w:spacing w:after="0"/>
              <w:rPr>
                <w:sz w:val="20"/>
                <w:szCs w:val="20"/>
                <w:color w:val="auto"/>
              </w:rPr>
            </w:pPr>
            <w:r>
              <w:rPr>
                <w:rFonts w:ascii="Arial" w:cs="Arial" w:eastAsia="Arial" w:hAnsi="Arial"/>
                <w:sz w:val="17"/>
                <w:szCs w:val="17"/>
                <w:color w:val="auto"/>
                <w:w w:val="84"/>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(2,047)</w:t>
            </w:r>
          </w:p>
        </w:tc>
        <w:tc>
          <w:tcPr>
            <w:tcW w:w="100" w:type="dxa"/>
            <w:vAlign w:val="bottom"/>
          </w:tcPr>
          <w:p>
            <w:pPr>
              <w:spacing w:after="0"/>
              <w:rPr>
                <w:sz w:val="18"/>
                <w:szCs w:val="18"/>
                <w:color w:val="auto"/>
              </w:rPr>
            </w:pPr>
          </w:p>
        </w:tc>
        <w:tc>
          <w:tcPr>
            <w:tcW w:w="460" w:type="dxa"/>
            <w:vAlign w:val="bottom"/>
            <w:tcBorders>
              <w:bottom w:val="single" w:sz="8" w:color="auto"/>
            </w:tcBorders>
          </w:tcPr>
          <w:p>
            <w:pPr>
              <w:jc w:val="right"/>
              <w:ind w:right="273"/>
              <w:spacing w:after="0"/>
              <w:rPr>
                <w:sz w:val="20"/>
                <w:szCs w:val="20"/>
                <w:color w:val="auto"/>
              </w:rPr>
            </w:pPr>
            <w:r>
              <w:rPr>
                <w:rFonts w:ascii="Arial" w:cs="Arial" w:eastAsia="Arial" w:hAnsi="Arial"/>
                <w:sz w:val="17"/>
                <w:szCs w:val="17"/>
                <w:color w:val="auto"/>
                <w:w w:val="84"/>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163</w:t>
            </w:r>
          </w:p>
        </w:tc>
      </w:tr>
      <w:tr>
        <w:trPr>
          <w:trHeight w:val="20"/>
        </w:trPr>
        <w:tc>
          <w:tcPr>
            <w:tcW w:w="84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Fair Value of Debt Instruments</w:t>
      </w:r>
    </w:p>
    <w:p>
      <w:pPr>
        <w:spacing w:after="0" w:line="249"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The Company believes it is not practicable to determine the fair value of the First Lien Facility Agreement, the Second Lien Facility Agreement and the PPP Loan without incurring significant additional costs. Unlike typical long-term debt, interest rates and other terms for these instruments are not readily available and generally involve a variety of factors, including due diligence by the debt holders. The following table sets forth the carrying values and estimated fair values of the Company's other debt instrument classified as a Level 3 financial instrument (in thousands):</w:t>
      </w:r>
    </w:p>
    <w:p>
      <w:pPr>
        <w:spacing w:after="0" w:line="97"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49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2280" w:type="dxa"/>
            <w:vAlign w:val="bottom"/>
            <w:tcBorders>
              <w:bottom w:val="single" w:sz="8" w:color="auto"/>
            </w:tcBorders>
            <w:gridSpan w:val="3"/>
          </w:tcPr>
          <w:p>
            <w:pPr>
              <w:ind w:left="680"/>
              <w:spacing w:after="0"/>
              <w:rPr>
                <w:sz w:val="20"/>
                <w:szCs w:val="20"/>
                <w:color w:val="auto"/>
              </w:rPr>
            </w:pPr>
            <w:r>
              <w:rPr>
                <w:rFonts w:ascii="Arial" w:cs="Arial" w:eastAsia="Arial" w:hAnsi="Arial"/>
                <w:sz w:val="17"/>
                <w:szCs w:val="17"/>
                <w:color w:val="auto"/>
              </w:rPr>
              <w:t>September 30, 2021</w:t>
            </w:r>
          </w:p>
        </w:tc>
        <w:tc>
          <w:tcPr>
            <w:tcW w:w="66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2300" w:type="dxa"/>
            <w:vAlign w:val="bottom"/>
            <w:tcBorders>
              <w:bottom w:val="single" w:sz="8" w:color="auto"/>
            </w:tcBorders>
            <w:gridSpan w:val="3"/>
          </w:tcPr>
          <w:p>
            <w:pPr>
              <w:ind w:left="720"/>
              <w:spacing w:after="0"/>
              <w:rPr>
                <w:sz w:val="20"/>
                <w:szCs w:val="20"/>
                <w:color w:val="auto"/>
              </w:rPr>
            </w:pPr>
            <w:r>
              <w:rPr>
                <w:rFonts w:ascii="Arial" w:cs="Arial" w:eastAsia="Arial" w:hAnsi="Arial"/>
                <w:sz w:val="17"/>
                <w:szCs w:val="17"/>
                <w:color w:val="auto"/>
              </w:rPr>
              <w:t>December 31, 2020</w:t>
            </w:r>
          </w:p>
        </w:tc>
        <w:tc>
          <w:tcPr>
            <w:tcW w:w="660" w:type="dxa"/>
            <w:vAlign w:val="bottom"/>
            <w:tcBorders>
              <w:bottom w:val="single" w:sz="8" w:color="auto"/>
            </w:tcBorders>
          </w:tcPr>
          <w:p>
            <w:pPr>
              <w:spacing w:after="0"/>
              <w:rPr>
                <w:sz w:val="19"/>
                <w:szCs w:val="19"/>
                <w:color w:val="auto"/>
              </w:rPr>
            </w:pPr>
          </w:p>
        </w:tc>
      </w:tr>
      <w:tr>
        <w:trPr>
          <w:trHeight w:val="215"/>
        </w:trPr>
        <w:tc>
          <w:tcPr>
            <w:tcW w:w="4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gridSpan w:val="2"/>
          </w:tcPr>
          <w:p>
            <w:pPr>
              <w:ind w:left="40"/>
              <w:spacing w:after="0"/>
              <w:rPr>
                <w:sz w:val="20"/>
                <w:szCs w:val="20"/>
                <w:color w:val="auto"/>
              </w:rPr>
            </w:pPr>
            <w:r>
              <w:rPr>
                <w:rFonts w:ascii="Arial" w:cs="Arial" w:eastAsia="Arial" w:hAnsi="Arial"/>
                <w:sz w:val="17"/>
                <w:szCs w:val="17"/>
                <w:color w:val="auto"/>
              </w:rPr>
              <w:t>Carrying Value</w:t>
            </w:r>
          </w:p>
        </w:tc>
        <w:tc>
          <w:tcPr>
            <w:tcW w:w="1620" w:type="dxa"/>
            <w:vAlign w:val="bottom"/>
            <w:gridSpan w:val="3"/>
          </w:tcPr>
          <w:p>
            <w:pPr>
              <w:ind w:left="40"/>
              <w:spacing w:after="0"/>
              <w:rPr>
                <w:sz w:val="20"/>
                <w:szCs w:val="20"/>
                <w:color w:val="auto"/>
              </w:rPr>
            </w:pPr>
            <w:r>
              <w:rPr>
                <w:rFonts w:ascii="Arial" w:cs="Arial" w:eastAsia="Arial" w:hAnsi="Arial"/>
                <w:sz w:val="17"/>
                <w:szCs w:val="17"/>
                <w:color w:val="auto"/>
                <w:w w:val="98"/>
              </w:rPr>
              <w:t>Estimated Fair Value</w:t>
            </w:r>
          </w:p>
        </w:tc>
        <w:tc>
          <w:tcPr>
            <w:tcW w:w="180" w:type="dxa"/>
            <w:vAlign w:val="bottom"/>
          </w:tcPr>
          <w:p>
            <w:pPr>
              <w:spacing w:after="0"/>
              <w:rPr>
                <w:sz w:val="18"/>
                <w:szCs w:val="18"/>
                <w:color w:val="auto"/>
              </w:rPr>
            </w:pPr>
          </w:p>
        </w:tc>
        <w:tc>
          <w:tcPr>
            <w:tcW w:w="1440" w:type="dxa"/>
            <w:vAlign w:val="bottom"/>
            <w:gridSpan w:val="2"/>
          </w:tcPr>
          <w:p>
            <w:pPr>
              <w:ind w:left="60"/>
              <w:spacing w:after="0"/>
              <w:rPr>
                <w:sz w:val="20"/>
                <w:szCs w:val="20"/>
                <w:color w:val="auto"/>
              </w:rPr>
            </w:pPr>
            <w:r>
              <w:rPr>
                <w:rFonts w:ascii="Arial" w:cs="Arial" w:eastAsia="Arial" w:hAnsi="Arial"/>
                <w:sz w:val="17"/>
                <w:szCs w:val="17"/>
                <w:color w:val="auto"/>
              </w:rPr>
              <w:t>Carrying Value</w:t>
            </w:r>
          </w:p>
        </w:tc>
        <w:tc>
          <w:tcPr>
            <w:tcW w:w="1520" w:type="dxa"/>
            <w:vAlign w:val="bottom"/>
            <w:gridSpan w:val="2"/>
          </w:tcPr>
          <w:p>
            <w:pPr>
              <w:ind w:left="40"/>
              <w:spacing w:after="0"/>
              <w:rPr>
                <w:sz w:val="20"/>
                <w:szCs w:val="20"/>
                <w:color w:val="auto"/>
              </w:rPr>
            </w:pPr>
            <w:r>
              <w:rPr>
                <w:rFonts w:ascii="Arial" w:cs="Arial" w:eastAsia="Arial" w:hAnsi="Arial"/>
                <w:sz w:val="17"/>
                <w:szCs w:val="17"/>
                <w:color w:val="auto"/>
                <w:w w:val="92"/>
              </w:rPr>
              <w:t>Estimated Fair Value</w:t>
            </w:r>
          </w:p>
        </w:tc>
      </w:tr>
      <w:tr>
        <w:trPr>
          <w:trHeight w:val="215"/>
        </w:trPr>
        <w:tc>
          <w:tcPr>
            <w:tcW w:w="49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2013 8.00% Notes</w:t>
            </w: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1,392</w:t>
            </w:r>
          </w:p>
        </w:tc>
        <w:tc>
          <w:tcPr>
            <w:tcW w:w="10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7"/>
                <w:szCs w:val="17"/>
                <w:color w:val="auto"/>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1,241</w:t>
            </w: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1,376</w:t>
            </w:r>
          </w:p>
        </w:tc>
        <w:tc>
          <w:tcPr>
            <w:tcW w:w="10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7"/>
                <w:szCs w:val="17"/>
                <w:color w:val="auto"/>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1,122</w:t>
            </w:r>
          </w:p>
        </w:tc>
      </w:tr>
    </w:tbl>
    <w:p>
      <w:pPr>
        <w:spacing w:after="0" w:line="314" w:lineRule="exact"/>
        <w:rPr>
          <w:sz w:val="20"/>
          <w:szCs w:val="20"/>
          <w:color w:val="auto"/>
        </w:rPr>
      </w:pPr>
    </w:p>
    <w:p>
      <w:pPr>
        <w:ind w:left="240"/>
        <w:spacing w:after="0"/>
        <w:rPr>
          <w:sz w:val="20"/>
          <w:szCs w:val="20"/>
          <w:color w:val="auto"/>
        </w:rPr>
      </w:pPr>
      <w:r>
        <w:rPr>
          <w:rFonts w:ascii="Arial" w:cs="Arial" w:eastAsia="Arial" w:hAnsi="Arial"/>
          <w:sz w:val="17"/>
          <w:szCs w:val="17"/>
          <w:color w:val="auto"/>
        </w:rPr>
        <w:t>See Note 5: Long-Term Debt and Other Financing Arrangements for further discussion of the Company's debt instruments.</w:t>
      </w:r>
    </w:p>
    <w:p>
      <w:pPr>
        <w:spacing w:after="0" w:line="24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Nonrecurring Fair Value Measurements</w:t>
      </w:r>
    </w:p>
    <w:p>
      <w:pPr>
        <w:spacing w:after="0" w:line="249" w:lineRule="exact"/>
        <w:rPr>
          <w:sz w:val="20"/>
          <w:szCs w:val="20"/>
          <w:color w:val="auto"/>
        </w:rPr>
      </w:pPr>
    </w:p>
    <w:p>
      <w:pPr>
        <w:jc w:val="both"/>
        <w:ind w:firstLine="314"/>
        <w:spacing w:after="0" w:line="272" w:lineRule="auto"/>
        <w:rPr>
          <w:sz w:val="20"/>
          <w:szCs w:val="20"/>
          <w:color w:val="auto"/>
        </w:rPr>
      </w:pPr>
      <w:r>
        <w:rPr>
          <w:rFonts w:ascii="Arial" w:cs="Arial" w:eastAsia="Arial" w:hAnsi="Arial"/>
          <w:sz w:val="17"/>
          <w:szCs w:val="17"/>
          <w:color w:val="auto"/>
        </w:rPr>
        <w:t>Long-lived assets and intangible and other assets are reviewed for impairment whenever events or changes in circumstances indicate that the carrying amount of such assets may not be recoverable. During the third quarter of 2021, the Company wrote off approximately $0.2 million of construction in progress related to unsatisfactory work that did not meet internal testing requirements and could not be used for its intended purpose.</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21" w:name="page22"/>
    <w:bookmarkEnd w:id="21"/>
    <w:p>
      <w:pPr>
        <w:spacing w:after="0"/>
        <w:rPr>
          <w:sz w:val="20"/>
          <w:szCs w:val="20"/>
          <w:color w:val="auto"/>
        </w:rPr>
      </w:pPr>
      <w:r>
        <w:rPr>
          <w:rFonts w:ascii="Arial" w:cs="Arial" w:eastAsia="Arial" w:hAnsi="Arial"/>
          <w:sz w:val="17"/>
          <w:szCs w:val="17"/>
          <w:b w:val="1"/>
          <w:bCs w:val="1"/>
          <w:color w:val="auto"/>
        </w:rPr>
        <w:t>8. RELATED PARTY TRANSACTIONS</w:t>
      </w:r>
    </w:p>
    <w:p>
      <w:pPr>
        <w:spacing w:after="0" w:line="255"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Payables to Thermo and other affiliates related to normal purchase transactions were $0.3 million and $0.6 million as of September 30, 2021 and December 31, 2020, respectively.</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Transactions with Thermo</w:t>
      </w:r>
    </w:p>
    <w:p>
      <w:pPr>
        <w:spacing w:after="0" w:line="249"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Certain general and administrative expenses are incurred by Thermo on behalf of the Company. These expenses, which include non-cash expenses that the Company accounts for as a contribution to capital, related to services provided by certain executive officers of Thermo, and expenses incurred by Thermo on behalf of the Company that are charged to the Company. The expenses charged are based on actual amounts (with no mark-up) incurred by Thermo or upon allocated employee time.</w:t>
      </w:r>
    </w:p>
    <w:p>
      <w:pPr>
        <w:spacing w:after="0" w:line="202"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6"/>
          <w:szCs w:val="16"/>
          <w:color w:val="auto"/>
        </w:rPr>
        <w:t>In February 2019, the Company entered into a lease agreement with Thermo Covington, LLC for the Company's headquarters office. Annual lease payments started at $1.4 million per year, increasing at a rate of 2.5% per year, for a lease term of ten years. During each of the three months ended September 30, 2021 and 2020, the Company incurred lease expense of $0.4 million, respectively, in each period under this lease agreement. During each of the nine months ended September 30, 2021 and 2020, the Company incurred lease expense of $1.2 million, respectively, under this lease agreement.</w:t>
      </w:r>
    </w:p>
    <w:p>
      <w:pPr>
        <w:spacing w:after="0" w:line="188" w:lineRule="exact"/>
        <w:rPr>
          <w:sz w:val="20"/>
          <w:szCs w:val="20"/>
          <w:color w:val="auto"/>
        </w:rPr>
      </w:pPr>
    </w:p>
    <w:p>
      <w:pPr>
        <w:jc w:val="both"/>
        <w:ind w:firstLine="235"/>
        <w:spacing w:after="0" w:line="282" w:lineRule="auto"/>
        <w:rPr>
          <w:sz w:val="20"/>
          <w:szCs w:val="20"/>
          <w:color w:val="auto"/>
        </w:rPr>
      </w:pPr>
      <w:r>
        <w:rPr>
          <w:rFonts w:ascii="Arial" w:cs="Arial" w:eastAsia="Arial" w:hAnsi="Arial"/>
          <w:sz w:val="16"/>
          <w:szCs w:val="16"/>
          <w:color w:val="auto"/>
        </w:rPr>
        <w:t>In November 2019, the Company entered into the Second Lien Facility Agreement. Thermo's participation in the Second Lien Facility Agreement was $95.1 million. This principal balance earns paid-in-kind interest at a rate of 13% per annum. Interest accrued since inception with respect to Thermo's portion of the debt outstanding on the Second Lien Facility Agreement was approximately $25.7 million, of which $11.2 million was accrued during the nine months ended September 30, 2021. In connection with the issuance of the Second Lien Facility Agreement, the holders received warrants to purchase shares of voting common stock, of which Thermo received 59.5 million warrants with an exercise price of $0.38 per share. Thermo exercised 9.5 million warrants in 2019 and the remaining warrants, totaling 50.0 million, during the first quarter of 2021 and, accordingly, no warrants were outstanding as of September 30, 2021.</w:t>
      </w:r>
    </w:p>
    <w:p>
      <w:pPr>
        <w:spacing w:after="0" w:line="193" w:lineRule="exact"/>
        <w:rPr>
          <w:sz w:val="20"/>
          <w:szCs w:val="20"/>
          <w:color w:val="auto"/>
        </w:rPr>
      </w:pPr>
    </w:p>
    <w:p>
      <w:pPr>
        <w:ind w:left="240"/>
        <w:spacing w:after="0"/>
        <w:rPr>
          <w:sz w:val="20"/>
          <w:szCs w:val="20"/>
          <w:color w:val="auto"/>
        </w:rPr>
      </w:pPr>
      <w:r>
        <w:rPr>
          <w:rFonts w:ascii="Arial" w:cs="Arial" w:eastAsia="Arial" w:hAnsi="Arial"/>
          <w:sz w:val="16"/>
          <w:szCs w:val="16"/>
          <w:color w:val="auto"/>
        </w:rPr>
        <w:t>See Note 5: Long-Term Debt and Other Financing Arrangements for further discussion of the Company's debt and financing transactions with Thermo.</w:t>
      </w:r>
    </w:p>
    <w:p>
      <w:pPr>
        <w:spacing w:after="0" w:line="25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9. LOSS PER SHARE</w:t>
      </w:r>
    </w:p>
    <w:p>
      <w:pPr>
        <w:spacing w:after="0" w:line="255" w:lineRule="exact"/>
        <w:rPr>
          <w:sz w:val="20"/>
          <w:szCs w:val="20"/>
          <w:color w:val="auto"/>
        </w:rPr>
      </w:pPr>
    </w:p>
    <w:p>
      <w:pPr>
        <w:jc w:val="both"/>
        <w:ind w:firstLine="235"/>
        <w:spacing w:after="0" w:line="284" w:lineRule="auto"/>
        <w:rPr>
          <w:sz w:val="20"/>
          <w:szCs w:val="20"/>
          <w:color w:val="auto"/>
        </w:rPr>
      </w:pPr>
      <w:r>
        <w:rPr>
          <w:rFonts w:ascii="Arial" w:cs="Arial" w:eastAsia="Arial" w:hAnsi="Arial"/>
          <w:sz w:val="16"/>
          <w:szCs w:val="16"/>
          <w:color w:val="auto"/>
        </w:rPr>
        <w:t>Loss per share is computed by dividing loss available to common stockholders by the weighted average number of shares of common stock outstanding during the period. In periods of net income, the numerator used to calculate diluted EPS includes the effect of dilutive securities, including interest expense, net, and derivative gains or losses reflected in net loss. Common stock equivalents are included in the calculation of diluted earnings per share only when the effect of their inclusion would be dilutive. The effect of potentially dilutive common shares for the Company's convertible notes is calculated using the if-converted method. Generally, for all other potentially dilutive common shares, the effect is calculated using the treasury stock method.</w:t>
      </w:r>
    </w:p>
    <w:p>
      <w:pPr>
        <w:spacing w:after="0" w:line="192" w:lineRule="exact"/>
        <w:rPr>
          <w:sz w:val="20"/>
          <w:szCs w:val="20"/>
          <w:color w:val="auto"/>
        </w:rPr>
      </w:pPr>
    </w:p>
    <w:p>
      <w:pPr>
        <w:ind w:firstLine="235"/>
        <w:spacing w:after="0" w:line="288" w:lineRule="auto"/>
        <w:rPr>
          <w:sz w:val="20"/>
          <w:szCs w:val="20"/>
          <w:color w:val="auto"/>
        </w:rPr>
      </w:pPr>
      <w:r>
        <w:rPr>
          <w:rFonts w:ascii="Arial" w:cs="Arial" w:eastAsia="Arial" w:hAnsi="Arial"/>
          <w:sz w:val="17"/>
          <w:szCs w:val="17"/>
          <w:color w:val="auto"/>
        </w:rPr>
        <w:t>The following table sets forth the computation of basic and diluted loss per common share during each of the three and nine months ended September 30, 2021 and 2020 (amounts in thousands, except per share data):</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550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2480" w:type="dxa"/>
            <w:vAlign w:val="bottom"/>
            <w:tcBorders>
              <w:bottom w:val="single" w:sz="8" w:color="auto"/>
            </w:tcBorders>
            <w:gridSpan w:val="4"/>
          </w:tcPr>
          <w:p>
            <w:pPr>
              <w:jc w:val="right"/>
              <w:ind w:right="673"/>
              <w:spacing w:after="0"/>
              <w:rPr>
                <w:sz w:val="20"/>
                <w:szCs w:val="20"/>
                <w:color w:val="auto"/>
              </w:rPr>
            </w:pPr>
            <w:r>
              <w:rPr>
                <w:rFonts w:ascii="Arial" w:cs="Arial" w:eastAsia="Arial" w:hAnsi="Arial"/>
                <w:sz w:val="16"/>
                <w:szCs w:val="16"/>
                <w:color w:val="auto"/>
              </w:rPr>
              <w:t>Three Months Ended</w:t>
            </w:r>
          </w:p>
        </w:tc>
        <w:tc>
          <w:tcPr>
            <w:tcW w:w="10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72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color w:val="auto"/>
              </w:rPr>
              <w:t>Nine Months Ended</w:t>
            </w:r>
          </w:p>
        </w:tc>
        <w:tc>
          <w:tcPr>
            <w:tcW w:w="760" w:type="dxa"/>
            <w:vAlign w:val="bottom"/>
            <w:tcBorders>
              <w:bottom w:val="single" w:sz="8" w:color="auto"/>
            </w:tcBorders>
          </w:tcPr>
          <w:p>
            <w:pPr>
              <w:spacing w:after="0"/>
              <w:rPr>
                <w:sz w:val="17"/>
                <w:szCs w:val="17"/>
                <w:color w:val="auto"/>
              </w:rPr>
            </w:pPr>
          </w:p>
        </w:tc>
      </w:tr>
      <w:tr>
        <w:trPr>
          <w:trHeight w:val="202"/>
        </w:trPr>
        <w:tc>
          <w:tcPr>
            <w:tcW w:w="5500" w:type="dxa"/>
            <w:vAlign w:val="bottom"/>
          </w:tcPr>
          <w:p>
            <w:pPr>
              <w:spacing w:after="0"/>
              <w:rPr>
                <w:sz w:val="17"/>
                <w:szCs w:val="17"/>
                <w:color w:val="auto"/>
              </w:rPr>
            </w:pPr>
          </w:p>
        </w:tc>
        <w:tc>
          <w:tcPr>
            <w:tcW w:w="1460" w:type="dxa"/>
            <w:vAlign w:val="bottom"/>
            <w:gridSpan w:val="3"/>
          </w:tcPr>
          <w:p>
            <w:pPr>
              <w:ind w:left="40"/>
              <w:spacing w:after="0"/>
              <w:rPr>
                <w:sz w:val="20"/>
                <w:szCs w:val="20"/>
                <w:color w:val="auto"/>
              </w:rPr>
            </w:pPr>
            <w:r>
              <w:rPr>
                <w:rFonts w:ascii="Arial" w:cs="Arial" w:eastAsia="Arial" w:hAnsi="Arial"/>
                <w:sz w:val="16"/>
                <w:szCs w:val="16"/>
                <w:color w:val="auto"/>
                <w:w w:val="96"/>
              </w:rPr>
              <w:t>September 30, 2021</w:t>
            </w:r>
          </w:p>
        </w:tc>
        <w:tc>
          <w:tcPr>
            <w:tcW w:w="1460" w:type="dxa"/>
            <w:vAlign w:val="bottom"/>
            <w:gridSpan w:val="3"/>
          </w:tcPr>
          <w:p>
            <w:pPr>
              <w:ind w:left="40"/>
              <w:spacing w:after="0"/>
              <w:rPr>
                <w:sz w:val="20"/>
                <w:szCs w:val="20"/>
                <w:color w:val="auto"/>
              </w:rPr>
            </w:pPr>
            <w:r>
              <w:rPr>
                <w:rFonts w:ascii="Arial" w:cs="Arial" w:eastAsia="Arial" w:hAnsi="Arial"/>
                <w:sz w:val="16"/>
                <w:szCs w:val="16"/>
                <w:color w:val="auto"/>
                <w:w w:val="96"/>
              </w:rPr>
              <w:t>September 30, 2020</w:t>
            </w:r>
          </w:p>
        </w:tc>
        <w:tc>
          <w:tcPr>
            <w:tcW w:w="1460" w:type="dxa"/>
            <w:vAlign w:val="bottom"/>
            <w:gridSpan w:val="3"/>
          </w:tcPr>
          <w:p>
            <w:pPr>
              <w:ind w:left="60"/>
              <w:spacing w:after="0"/>
              <w:rPr>
                <w:sz w:val="20"/>
                <w:szCs w:val="20"/>
                <w:color w:val="auto"/>
              </w:rPr>
            </w:pPr>
            <w:r>
              <w:rPr>
                <w:rFonts w:ascii="Arial" w:cs="Arial" w:eastAsia="Arial" w:hAnsi="Arial"/>
                <w:sz w:val="16"/>
                <w:szCs w:val="16"/>
                <w:color w:val="auto"/>
                <w:w w:val="95"/>
              </w:rPr>
              <w:t>September 30, 2021</w:t>
            </w:r>
          </w:p>
        </w:tc>
        <w:tc>
          <w:tcPr>
            <w:tcW w:w="1360" w:type="dxa"/>
            <w:vAlign w:val="bottom"/>
            <w:gridSpan w:val="2"/>
          </w:tcPr>
          <w:p>
            <w:pPr>
              <w:jc w:val="right"/>
              <w:spacing w:after="0"/>
              <w:rPr>
                <w:sz w:val="20"/>
                <w:szCs w:val="20"/>
                <w:color w:val="auto"/>
              </w:rPr>
            </w:pPr>
            <w:r>
              <w:rPr>
                <w:rFonts w:ascii="Arial" w:cs="Arial" w:eastAsia="Arial" w:hAnsi="Arial"/>
                <w:sz w:val="16"/>
                <w:szCs w:val="16"/>
                <w:color w:val="auto"/>
                <w:w w:val="89"/>
              </w:rPr>
              <w:t>September 30, 2021</w:t>
            </w:r>
          </w:p>
        </w:tc>
      </w:tr>
      <w:tr>
        <w:trPr>
          <w:trHeight w:val="218"/>
        </w:trPr>
        <w:tc>
          <w:tcPr>
            <w:tcW w:w="55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Net loss</w:t>
            </w:r>
          </w:p>
        </w:tc>
        <w:tc>
          <w:tcPr>
            <w:tcW w:w="340" w:type="dxa"/>
            <w:vAlign w:val="bottom"/>
            <w:tcBorders>
              <w:top w:val="single" w:sz="8" w:color="auto"/>
            </w:tcBorders>
            <w:shd w:val="clear" w:color="auto" w:fill="CCEEFF"/>
          </w:tcPr>
          <w:p>
            <w:pPr>
              <w:jc w:val="right"/>
              <w:ind w:right="156"/>
              <w:spacing w:after="0"/>
              <w:rPr>
                <w:sz w:val="20"/>
                <w:szCs w:val="20"/>
                <w:color w:val="auto"/>
              </w:rPr>
            </w:pPr>
            <w:r>
              <w:rPr>
                <w:rFonts w:ascii="Arial" w:cs="Arial" w:eastAsia="Arial" w:hAnsi="Arial"/>
                <w:sz w:val="17"/>
                <w:szCs w:val="17"/>
                <w:color w:val="auto"/>
                <w:w w:val="84"/>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(30,885)</w:t>
            </w:r>
          </w:p>
        </w:tc>
        <w:tc>
          <w:tcPr>
            <w:tcW w:w="10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jc w:val="right"/>
              <w:ind w:right="156"/>
              <w:spacing w:after="0"/>
              <w:rPr>
                <w:sz w:val="20"/>
                <w:szCs w:val="20"/>
                <w:color w:val="auto"/>
              </w:rPr>
            </w:pPr>
            <w:r>
              <w:rPr>
                <w:rFonts w:ascii="Arial" w:cs="Arial" w:eastAsia="Arial" w:hAnsi="Arial"/>
                <w:sz w:val="17"/>
                <w:szCs w:val="17"/>
                <w:color w:val="auto"/>
                <w:w w:val="84"/>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(24,946)</w:t>
            </w:r>
          </w:p>
        </w:tc>
        <w:tc>
          <w:tcPr>
            <w:tcW w:w="10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jc w:val="right"/>
              <w:ind w:right="156"/>
              <w:spacing w:after="0"/>
              <w:rPr>
                <w:sz w:val="20"/>
                <w:szCs w:val="20"/>
                <w:color w:val="auto"/>
              </w:rPr>
            </w:pPr>
            <w:r>
              <w:rPr>
                <w:rFonts w:ascii="Arial" w:cs="Arial" w:eastAsia="Arial" w:hAnsi="Arial"/>
                <w:sz w:val="17"/>
                <w:szCs w:val="17"/>
                <w:color w:val="auto"/>
                <w:w w:val="84"/>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(88,667)</w:t>
            </w:r>
          </w:p>
        </w:tc>
        <w:tc>
          <w:tcPr>
            <w:tcW w:w="100" w:type="dxa"/>
            <w:vAlign w:val="bottom"/>
            <w:tcBorders>
              <w:top w:val="single" w:sz="8" w:color="CCEEFF"/>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ind w:right="416"/>
              <w:spacing w:after="0"/>
              <w:rPr>
                <w:sz w:val="20"/>
                <w:szCs w:val="20"/>
                <w:color w:val="auto"/>
              </w:rPr>
            </w:pPr>
            <w:r>
              <w:rPr>
                <w:rFonts w:ascii="Arial" w:cs="Arial" w:eastAsia="Arial" w:hAnsi="Arial"/>
                <w:sz w:val="17"/>
                <w:szCs w:val="17"/>
                <w:color w:val="auto"/>
                <w:w w:val="84"/>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(87,905)</w:t>
            </w:r>
          </w:p>
        </w:tc>
      </w:tr>
      <w:tr>
        <w:trPr>
          <w:trHeight w:val="222"/>
        </w:trPr>
        <w:tc>
          <w:tcPr>
            <w:tcW w:w="5500" w:type="dxa"/>
            <w:vAlign w:val="bottom"/>
          </w:tcPr>
          <w:p>
            <w:pPr>
              <w:ind w:left="20"/>
              <w:spacing w:after="0"/>
              <w:rPr>
                <w:sz w:val="20"/>
                <w:szCs w:val="20"/>
                <w:color w:val="auto"/>
              </w:rPr>
            </w:pPr>
            <w:r>
              <w:rPr>
                <w:rFonts w:ascii="Arial" w:cs="Arial" w:eastAsia="Arial" w:hAnsi="Arial"/>
                <w:sz w:val="17"/>
                <w:szCs w:val="17"/>
                <w:color w:val="auto"/>
              </w:rPr>
              <w:t>Weighted average shares outstanding</w:t>
            </w:r>
          </w:p>
        </w:tc>
        <w:tc>
          <w:tcPr>
            <w:tcW w:w="3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1,793,144</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1,670,315</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1,755,362</w:t>
            </w: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w w:val="89"/>
              </w:rPr>
              <w:t>1,632,554</w:t>
            </w:r>
          </w:p>
        </w:tc>
      </w:tr>
      <w:tr>
        <w:trPr>
          <w:trHeight w:val="222"/>
        </w:trPr>
        <w:tc>
          <w:tcPr>
            <w:tcW w:w="550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loss per common share - basic and diluted</w:t>
            </w:r>
          </w:p>
        </w:tc>
        <w:tc>
          <w:tcPr>
            <w:tcW w:w="340" w:type="dxa"/>
            <w:vAlign w:val="bottom"/>
            <w:shd w:val="clear" w:color="auto" w:fill="CCEEFF"/>
          </w:tcPr>
          <w:p>
            <w:pPr>
              <w:jc w:val="right"/>
              <w:ind w:right="156"/>
              <w:spacing w:after="0"/>
              <w:rPr>
                <w:sz w:val="20"/>
                <w:szCs w:val="20"/>
                <w:color w:val="auto"/>
              </w:rPr>
            </w:pPr>
            <w:r>
              <w:rPr>
                <w:rFonts w:ascii="Arial" w:cs="Arial" w:eastAsia="Arial" w:hAnsi="Arial"/>
                <w:sz w:val="17"/>
                <w:szCs w:val="17"/>
                <w:color w:val="auto"/>
                <w:w w:val="84"/>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(0.02)</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6"/>
              <w:spacing w:after="0"/>
              <w:rPr>
                <w:sz w:val="20"/>
                <w:szCs w:val="20"/>
                <w:color w:val="auto"/>
              </w:rPr>
            </w:pPr>
            <w:r>
              <w:rPr>
                <w:rFonts w:ascii="Arial" w:cs="Arial" w:eastAsia="Arial" w:hAnsi="Arial"/>
                <w:sz w:val="17"/>
                <w:szCs w:val="17"/>
                <w:color w:val="auto"/>
                <w:w w:val="84"/>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(0.01)</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6"/>
              <w:spacing w:after="0"/>
              <w:rPr>
                <w:sz w:val="20"/>
                <w:szCs w:val="20"/>
                <w:color w:val="auto"/>
              </w:rPr>
            </w:pPr>
            <w:r>
              <w:rPr>
                <w:rFonts w:ascii="Arial" w:cs="Arial" w:eastAsia="Arial" w:hAnsi="Arial"/>
                <w:sz w:val="17"/>
                <w:szCs w:val="17"/>
                <w:color w:val="auto"/>
                <w:w w:val="84"/>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(0.05)</w:t>
            </w:r>
          </w:p>
        </w:tc>
        <w:tc>
          <w:tcPr>
            <w:tcW w:w="100" w:type="dxa"/>
            <w:vAlign w:val="bottom"/>
            <w:shd w:val="clear" w:color="auto" w:fill="CCEEFF"/>
          </w:tcPr>
          <w:p>
            <w:pPr>
              <w:spacing w:after="0"/>
              <w:rPr>
                <w:sz w:val="19"/>
                <w:szCs w:val="19"/>
                <w:color w:val="auto"/>
              </w:rPr>
            </w:pPr>
          </w:p>
        </w:tc>
        <w:tc>
          <w:tcPr>
            <w:tcW w:w="600" w:type="dxa"/>
            <w:vAlign w:val="bottom"/>
            <w:shd w:val="clear" w:color="auto" w:fill="CCEEFF"/>
          </w:tcPr>
          <w:p>
            <w:pPr>
              <w:jc w:val="right"/>
              <w:ind w:right="416"/>
              <w:spacing w:after="0"/>
              <w:rPr>
                <w:sz w:val="20"/>
                <w:szCs w:val="20"/>
                <w:color w:val="auto"/>
              </w:rPr>
            </w:pPr>
            <w:r>
              <w:rPr>
                <w:rFonts w:ascii="Arial" w:cs="Arial" w:eastAsia="Arial" w:hAnsi="Arial"/>
                <w:sz w:val="17"/>
                <w:szCs w:val="17"/>
                <w:color w:val="auto"/>
                <w:w w:val="84"/>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(0.05)</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22" w:name="page23"/>
    <w:bookmarkEnd w:id="22"/>
    <w:p>
      <w:pPr>
        <w:jc w:val="both"/>
        <w:ind w:firstLine="235"/>
        <w:spacing w:after="0" w:line="263" w:lineRule="auto"/>
        <w:rPr>
          <w:sz w:val="20"/>
          <w:szCs w:val="20"/>
          <w:color w:val="auto"/>
        </w:rPr>
      </w:pPr>
      <w:r>
        <w:rPr>
          <w:rFonts w:ascii="Arial" w:cs="Arial" w:eastAsia="Arial" w:hAnsi="Arial"/>
          <w:sz w:val="17"/>
          <w:szCs w:val="17"/>
          <w:color w:val="auto"/>
        </w:rPr>
        <w:t>For the three months ended September 30, 2021 and 2020, 11.0 million and 4.3 million shares, respectively, of common stock related to the Company's 2013 8.00% Notes and Equity Incentive Plan were excluded from diluted shares outstanding because the effects of potentially dilutive securities would be anti-dilutive. For the nine months ended September 30, 2021 and 2020, 10.2 million and 4.4 million shares, respectively, of common stock related to the Company's 2013 8.00% Notes and 2006 Equity Incentive Plan were excluded from diluted shares outstanding because the effects of potentially dilutive securities would be anti-dilutive. Additionally, at September 30, 2020, 115.0 million warrants issued to the lenders of the Second Lien Facility Agreement were outstanding. These warrants were exercised in March 2021.</w:t>
      </w:r>
    </w:p>
    <w:p>
      <w:pPr>
        <w:spacing w:after="0" w:line="1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2. Management's Discussion and Analysis of Financial Condition and Results of Operations Forward-Looking Statements.</w:t>
      </w:r>
    </w:p>
    <w:p>
      <w:pPr>
        <w:spacing w:after="0" w:line="255" w:lineRule="exact"/>
        <w:rPr>
          <w:sz w:val="20"/>
          <w:szCs w:val="20"/>
          <w:color w:val="auto"/>
        </w:rPr>
      </w:pPr>
    </w:p>
    <w:p>
      <w:pPr>
        <w:jc w:val="both"/>
        <w:ind w:firstLine="314"/>
        <w:spacing w:after="0" w:line="275" w:lineRule="auto"/>
        <w:rPr>
          <w:sz w:val="20"/>
          <w:szCs w:val="20"/>
          <w:color w:val="auto"/>
        </w:rPr>
      </w:pPr>
      <w:r>
        <w:rPr>
          <w:rFonts w:ascii="Arial" w:cs="Arial" w:eastAsia="Arial" w:hAnsi="Arial"/>
          <w:sz w:val="16"/>
          <w:szCs w:val="16"/>
          <w:color w:val="auto"/>
        </w:rPr>
        <w:t>Certain statements contained in or incorporated by reference into this Quarterly Report on Form 10-Q (the "Report"), other than purely historical information, including, but not limited to, estimates, projections, statements relating to our business plans, objectives and expected operating results, and the assumptions upon which those statements are based, are forward-looking statements within the meaning of the Private Securities Litigation Reform Act of 1995. These forward-looking statements generally are identified by the words "believe," "project," "expect," "anticipate," "estimate," "intend," "strategy," "plan," "may," "should," "will," "would," "will be," "will continue," "will likely result," and similar expressions, although not all forward-looking statements contain these identifying words. These forward-looking statements are based on current expectations and assumptions that are subject to risks and uncertainties which may cause actual results to differ materially from the forward-looking statements. Forward-looking statements, such as the statements regarding our ability to develop and expand our business (including our ability to monetize our spectrum rights), our anticipated capital spending, our ability to manage costs, our ability to exploit and respond to technological innovation, the effects of laws and regulations (including tax laws and regulations) and legal and regulatory changes (including regulation related to the use of our spectrum), the opportunities for strategic business combinations and the effects of consolidation in our industry on us and our competitors, our anticipated future revenues, our anticipated financial resources, our expectations about the future operational performance of our satellites (including their projected operational lives), the expected strength of and growth prospects for our existing customers and the markets that we serve, commercial acceptance of new products, problems relating to the ground-based facilities operated by us or by independent gateway operators, worldwide economic, geopolitical and business conditions and risks associated with doing business on a global basis, business interruptions due to natural disasters, unexpected events or public health crises, including viral pandemics such as the COVID-19 coronavirus, and other statements contained in this Report regarding matters that are not historical facts, involve predictions. Risks and uncertainties that could cause or contribute to such differences include, without limitation, those in Item 1A. Risk Factors in our Annual Report on Form 10-K for the fiscal year ended December 31, 2020, as filed with the Securities and Exchange Commission (the "SEC") on March 4, 2021 (the "2020 Annual Report"). We do not intend, and undertake no obligation, to update any of our forward-looking statements after the date of this Report to reflect actual results or future events or circumstances.</w:t>
      </w:r>
    </w:p>
    <w:p>
      <w:pPr>
        <w:spacing w:after="0" w:line="203" w:lineRule="exact"/>
        <w:rPr>
          <w:sz w:val="20"/>
          <w:szCs w:val="20"/>
          <w:color w:val="auto"/>
        </w:rPr>
      </w:pPr>
    </w:p>
    <w:p>
      <w:pPr>
        <w:jc w:val="both"/>
        <w:ind w:firstLine="353"/>
        <w:spacing w:after="0" w:line="284" w:lineRule="auto"/>
        <w:rPr>
          <w:sz w:val="20"/>
          <w:szCs w:val="20"/>
          <w:color w:val="auto"/>
        </w:rPr>
      </w:pPr>
      <w:r>
        <w:rPr>
          <w:rFonts w:ascii="Arial" w:cs="Arial" w:eastAsia="Arial" w:hAnsi="Arial"/>
          <w:sz w:val="16"/>
          <w:szCs w:val="16"/>
          <w:color w:val="auto"/>
        </w:rPr>
        <w:t>New risk factors emerge from time to time, and it is not possible for us to predict all risk factors, nor can we assess the impact of all factors on our business or the extent to which any factor, or combination of factors, may cause actual results to differ materially from those contained in any forward-looking statements. We undertake no obligation to update publicly or revise any forward-looking statements. You should not rely upon forward-looking statements as predictions of future events or performance. We cannot assure you that the events and circumstances reflected in the forward-looking statements will be achieved or occur. These cautionary statements qualify all forward-looking statements attributable to us or persons acting on our behalf.</w:t>
      </w:r>
    </w:p>
    <w:p>
      <w:pPr>
        <w:spacing w:after="0" w:line="192" w:lineRule="exact"/>
        <w:rPr>
          <w:sz w:val="20"/>
          <w:szCs w:val="20"/>
          <w:color w:val="auto"/>
        </w:rPr>
      </w:pPr>
    </w:p>
    <w:p>
      <w:pPr>
        <w:jc w:val="both"/>
        <w:ind w:firstLine="314"/>
        <w:spacing w:after="0" w:line="288" w:lineRule="auto"/>
        <w:rPr>
          <w:sz w:val="20"/>
          <w:szCs w:val="20"/>
          <w:color w:val="auto"/>
        </w:rPr>
      </w:pPr>
      <w:r>
        <w:rPr>
          <w:rFonts w:ascii="Arial" w:cs="Arial" w:eastAsia="Arial" w:hAnsi="Arial"/>
          <w:sz w:val="17"/>
          <w:szCs w:val="17"/>
          <w:color w:val="auto"/>
        </w:rPr>
        <w:t>This "Management's Discussion and Analysis of Financial Condition" should be read in conjunction with the "Management's Discussion and Analysis of Financial Condition" and information included in our 2020 Annual Report.</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Overview</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Mobile Satellite Services Business</w:t>
      </w:r>
    </w:p>
    <w:p>
      <w:pPr>
        <w:spacing w:after="0" w:line="249" w:lineRule="exact"/>
        <w:rPr>
          <w:sz w:val="20"/>
          <w:szCs w:val="20"/>
          <w:color w:val="auto"/>
        </w:rPr>
      </w:pPr>
    </w:p>
    <w:p>
      <w:pPr>
        <w:jc w:val="both"/>
        <w:ind w:firstLine="235"/>
        <w:spacing w:after="0" w:line="284" w:lineRule="auto"/>
        <w:rPr>
          <w:sz w:val="20"/>
          <w:szCs w:val="20"/>
          <w:color w:val="auto"/>
        </w:rPr>
      </w:pPr>
      <w:r>
        <w:rPr>
          <w:rFonts w:ascii="Arial" w:cs="Arial" w:eastAsia="Arial" w:hAnsi="Arial"/>
          <w:sz w:val="16"/>
          <w:szCs w:val="16"/>
          <w:color w:val="auto"/>
        </w:rPr>
        <w:t>Globalstar, Inc. ("we", "us" or the "Company") provides Mobile Satellite Services (“MSS”) including voice and data communications services globally via satellite. We offer these services over our network of in-orbit satellites and our active ground stations (“gateways”), which we refer to collectively as the Globalstar System. In addition to supporting Internet of Things ("IoT") data transmissions in a variety of applications, we provide reliable connectivity in areas not served or underserved by terrestrial wireless and wireline networks and in circumstances where terrestrial networks are not operational due to natural or man-made disasters. By providing wireless communications services across the globe, we meet our customers' increasing desire for connectivity.</w:t>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23" w:name="page24"/>
    <w:bookmarkEnd w:id="23"/>
    <w:p>
      <w:pPr>
        <w:ind w:left="240"/>
        <w:spacing w:after="0"/>
        <w:rPr>
          <w:sz w:val="20"/>
          <w:szCs w:val="20"/>
          <w:color w:val="auto"/>
        </w:rPr>
      </w:pPr>
      <w:r>
        <w:rPr>
          <w:rFonts w:ascii="Arial" w:cs="Arial" w:eastAsia="Arial" w:hAnsi="Arial"/>
          <w:sz w:val="17"/>
          <w:szCs w:val="17"/>
          <w:color w:val="auto"/>
        </w:rPr>
        <w:t>We currently provide the following communications services:</w:t>
      </w:r>
    </w:p>
    <w:p>
      <w:pPr>
        <w:spacing w:after="0" w:line="249" w:lineRule="exact"/>
        <w:rPr>
          <w:sz w:val="20"/>
          <w:szCs w:val="20"/>
          <w:color w:val="auto"/>
        </w:rPr>
      </w:pPr>
    </w:p>
    <w:p>
      <w:pPr>
        <w:ind w:left="640" w:hanging="322"/>
        <w:spacing w:after="0" w:line="264" w:lineRule="auto"/>
        <w:tabs>
          <w:tab w:leader="none" w:pos="636" w:val="left"/>
        </w:tabs>
        <w:numPr>
          <w:ilvl w:val="0"/>
          <w:numId w:val="6"/>
        </w:numPr>
        <w:rPr>
          <w:rFonts w:ascii="Arial" w:cs="Arial" w:eastAsia="Arial" w:hAnsi="Arial"/>
          <w:sz w:val="17"/>
          <w:szCs w:val="17"/>
          <w:color w:val="auto"/>
        </w:rPr>
      </w:pPr>
      <w:r>
        <w:rPr>
          <w:rFonts w:ascii="Arial" w:cs="Arial" w:eastAsia="Arial" w:hAnsi="Arial"/>
          <w:sz w:val="17"/>
          <w:szCs w:val="17"/>
          <w:color w:val="auto"/>
        </w:rPr>
        <w:t>two-way voice communication and data transmissions using mobile or fixed devices, including our GSP-1600 and GSP-1700 phones and other fixed and data-only devices ("Duplex");</w:t>
      </w:r>
    </w:p>
    <w:p>
      <w:pPr>
        <w:ind w:left="640" w:hanging="322"/>
        <w:spacing w:after="0" w:line="199" w:lineRule="auto"/>
        <w:tabs>
          <w:tab w:leader="none" w:pos="636" w:val="left"/>
        </w:tabs>
        <w:numPr>
          <w:ilvl w:val="0"/>
          <w:numId w:val="6"/>
        </w:numPr>
        <w:rPr>
          <w:rFonts w:ascii="Arial" w:cs="Arial" w:eastAsia="Arial" w:hAnsi="Arial"/>
          <w:sz w:val="17"/>
          <w:szCs w:val="17"/>
          <w:color w:val="auto"/>
        </w:rPr>
      </w:pPr>
      <w:r>
        <w:rPr>
          <w:rFonts w:ascii="Arial" w:cs="Arial" w:eastAsia="Arial" w:hAnsi="Arial"/>
          <w:sz w:val="17"/>
          <w:szCs w:val="17"/>
          <w:color w:val="auto"/>
        </w:rPr>
        <w:t>one-way or two-way communication and data transmissions using mobile devices, including our SPOT family of products, such as SPOT X</w:t>
      </w:r>
      <w:r>
        <w:rPr>
          <w:rFonts w:ascii="Arial" w:cs="Arial" w:eastAsia="Arial" w:hAnsi="Arial"/>
          <w:sz w:val="22"/>
          <w:szCs w:val="22"/>
          <w:color w:val="auto"/>
          <w:vertAlign w:val="superscript"/>
        </w:rPr>
        <w:t>®</w:t>
      </w:r>
      <w:r>
        <w:rPr>
          <w:rFonts w:ascii="Arial" w:cs="Arial" w:eastAsia="Arial" w:hAnsi="Arial"/>
          <w:sz w:val="17"/>
          <w:szCs w:val="17"/>
          <w:color w:val="auto"/>
        </w:rPr>
        <w:t>, SPOT Gen4</w:t>
      </w:r>
      <w:r>
        <w:rPr>
          <w:rFonts w:ascii="Arial" w:cs="Arial" w:eastAsia="Arial" w:hAnsi="Arial"/>
          <w:sz w:val="22"/>
          <w:szCs w:val="22"/>
          <w:color w:val="auto"/>
          <w:vertAlign w:val="superscript"/>
        </w:rPr>
        <w:t>™</w:t>
      </w:r>
      <w:r>
        <w:rPr>
          <w:rFonts w:ascii="Arial" w:cs="Arial" w:eastAsia="Arial" w:hAnsi="Arial"/>
          <w:sz w:val="17"/>
          <w:szCs w:val="17"/>
          <w:color w:val="auto"/>
        </w:rPr>
        <w:t xml:space="preserve"> and SPOT Trace</w:t>
      </w:r>
      <w:r>
        <w:rPr>
          <w:rFonts w:ascii="Arial" w:cs="Arial" w:eastAsia="Arial" w:hAnsi="Arial"/>
          <w:sz w:val="22"/>
          <w:szCs w:val="22"/>
          <w:color w:val="auto"/>
          <w:vertAlign w:val="superscript"/>
        </w:rPr>
        <w:t>®</w:t>
      </w:r>
      <w:r>
        <w:rPr>
          <w:rFonts w:ascii="Arial" w:cs="Arial" w:eastAsia="Arial" w:hAnsi="Arial"/>
          <w:sz w:val="17"/>
          <w:szCs w:val="17"/>
          <w:color w:val="auto"/>
        </w:rPr>
        <w:t>, that transmit messages and the location of the device ("SPOT");</w:t>
      </w:r>
    </w:p>
    <w:p>
      <w:pPr>
        <w:ind w:left="640" w:hanging="322"/>
        <w:spacing w:after="0" w:line="255" w:lineRule="auto"/>
        <w:tabs>
          <w:tab w:leader="none" w:pos="636" w:val="left"/>
        </w:tabs>
        <w:numPr>
          <w:ilvl w:val="0"/>
          <w:numId w:val="6"/>
        </w:numPr>
        <w:rPr>
          <w:rFonts w:ascii="Arial" w:cs="Arial" w:eastAsia="Arial" w:hAnsi="Arial"/>
          <w:sz w:val="17"/>
          <w:szCs w:val="17"/>
          <w:color w:val="auto"/>
        </w:rPr>
      </w:pPr>
      <w:r>
        <w:rPr>
          <w:rFonts w:ascii="Arial" w:cs="Arial" w:eastAsia="Arial" w:hAnsi="Arial"/>
          <w:sz w:val="17"/>
          <w:szCs w:val="17"/>
          <w:color w:val="auto"/>
        </w:rPr>
        <w:t>one-way data transmissions using a mobile or fixed device that transmits its location and other information to a central monitoring station, including our commercial IoT products, such as our battery- and solar-powered SmartOne, STX-3 and ST100 ("Commercial IoT"); and</w:t>
      </w:r>
    </w:p>
    <w:p>
      <w:pPr>
        <w:ind w:left="640" w:hanging="322"/>
        <w:spacing w:after="0" w:line="273" w:lineRule="auto"/>
        <w:tabs>
          <w:tab w:leader="none" w:pos="636" w:val="left"/>
        </w:tabs>
        <w:numPr>
          <w:ilvl w:val="0"/>
          <w:numId w:val="6"/>
        </w:numPr>
        <w:rPr>
          <w:rFonts w:ascii="Arial" w:cs="Arial" w:eastAsia="Arial" w:hAnsi="Arial"/>
          <w:sz w:val="17"/>
          <w:szCs w:val="17"/>
          <w:color w:val="auto"/>
        </w:rPr>
      </w:pPr>
      <w:r>
        <w:rPr>
          <w:rFonts w:ascii="Arial" w:cs="Arial" w:eastAsia="Arial" w:hAnsi="Arial"/>
          <w:sz w:val="17"/>
          <w:szCs w:val="17"/>
          <w:color w:val="auto"/>
        </w:rPr>
        <w:t>engineering services to assist certain customers in developing new applications to operate on our network, enhancements to our ground network and other communication services using our MSS and terrestrial spectrum licenses ("Engineering and Other").</w:t>
      </w:r>
    </w:p>
    <w:p>
      <w:pPr>
        <w:spacing w:after="0" w:line="197" w:lineRule="exact"/>
        <w:rPr>
          <w:sz w:val="20"/>
          <w:szCs w:val="20"/>
          <w:color w:val="auto"/>
        </w:rPr>
      </w:pPr>
    </w:p>
    <w:p>
      <w:pPr>
        <w:jc w:val="both"/>
        <w:ind w:firstLine="235"/>
        <w:spacing w:after="0" w:line="248" w:lineRule="auto"/>
        <w:rPr>
          <w:sz w:val="20"/>
          <w:szCs w:val="20"/>
          <w:color w:val="auto"/>
        </w:rPr>
      </w:pPr>
      <w:r>
        <w:rPr>
          <w:rFonts w:ascii="Arial" w:cs="Arial" w:eastAsia="Arial" w:hAnsi="Arial"/>
          <w:sz w:val="17"/>
          <w:szCs w:val="17"/>
          <w:color w:val="auto"/>
        </w:rPr>
        <w:t>Our constellation of Low Earth Orbit ("LEO") satellites includes second-generation satellites and certain first-generation satellites, which are currently being used as in-orbit spares. We also have one on-ground spare second-generation satellite that we may include in a future launch. We designed our satellite network to maximize the probability that at least one satellite is visible from any point on the Earth's surface between the latitudes 70° north and 70° south. We designed our second-generation satellites to last twice as long in space, have 40% greater capacity and be built at a significantly lower cost compared to our first-generation satellites.</w:t>
      </w:r>
    </w:p>
    <w:p>
      <w:pPr>
        <w:spacing w:after="0" w:line="205" w:lineRule="exact"/>
        <w:rPr>
          <w:sz w:val="20"/>
          <w:szCs w:val="20"/>
          <w:color w:val="auto"/>
        </w:rPr>
      </w:pPr>
    </w:p>
    <w:p>
      <w:pPr>
        <w:jc w:val="both"/>
        <w:ind w:firstLine="235"/>
        <w:spacing w:after="0" w:line="297" w:lineRule="auto"/>
        <w:rPr>
          <w:sz w:val="20"/>
          <w:szCs w:val="20"/>
          <w:color w:val="auto"/>
        </w:rPr>
      </w:pPr>
      <w:r>
        <w:rPr>
          <w:rFonts w:ascii="Arial" w:cs="Arial" w:eastAsia="Arial" w:hAnsi="Arial"/>
          <w:sz w:val="16"/>
          <w:szCs w:val="16"/>
          <w:color w:val="auto"/>
        </w:rPr>
        <w:t>Our goal is to provide service levels and call or message success rates equal to or better than our MSS competitors so our products and services are attractive to potential customers. We believe that our system outperforms geostationary (“GEO”) satellites used by some of our competitors. GEO satellite signals must travel approximately 42,000 additional miles on average, which introduces considerable delay and signal degradation to GEO calls.</w:t>
      </w:r>
    </w:p>
    <w:p>
      <w:pPr>
        <w:spacing w:after="0" w:line="179" w:lineRule="exact"/>
        <w:rPr>
          <w:sz w:val="20"/>
          <w:szCs w:val="20"/>
          <w:color w:val="auto"/>
        </w:rPr>
      </w:pPr>
    </w:p>
    <w:p>
      <w:pPr>
        <w:jc w:val="both"/>
        <w:ind w:firstLine="235"/>
        <w:spacing w:after="0" w:line="263" w:lineRule="auto"/>
        <w:rPr>
          <w:sz w:val="20"/>
          <w:szCs w:val="20"/>
          <w:color w:val="auto"/>
        </w:rPr>
      </w:pPr>
      <w:r>
        <w:rPr>
          <w:rFonts w:ascii="Arial" w:cs="Arial" w:eastAsia="Arial" w:hAnsi="Arial"/>
          <w:sz w:val="17"/>
          <w:szCs w:val="17"/>
          <w:color w:val="auto"/>
        </w:rPr>
        <w:t>Our ground network includes our ground equipment, which uses patented CDMA technology to permit communication to multiple satellites. Patented receivers in our handsets track the pilot channel and signaling channel as well as three additional communications channels simultaneously. Compared to other satellite and network architectures, we offer superior call clarity with virtually no discernible delay. In 2019, we began the process to expand and enhance our gateway coverage and performance, including the deployment of new gateway antennas to our gateways around the world. In connection with these efforts, during 2021, we purchased gateway assets, including operating licenses, from two former Independent Gateway Operators ("IGOs") in Australia and South Korea.</w:t>
      </w:r>
    </w:p>
    <w:p>
      <w:pPr>
        <w:spacing w:after="0" w:line="205"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We compete aggressively on price. We offer a range of price-competitive products to the industrial, governmental and consumer markets. We expect to retain our position as a cost-effective, high quality leader in the MSS industry.</w:t>
      </w:r>
    </w:p>
    <w:p>
      <w:pPr>
        <w:spacing w:after="0" w:line="184" w:lineRule="exact"/>
        <w:rPr>
          <w:sz w:val="20"/>
          <w:szCs w:val="20"/>
          <w:color w:val="auto"/>
        </w:rPr>
      </w:pPr>
    </w:p>
    <w:p>
      <w:pPr>
        <w:jc w:val="both"/>
        <w:ind w:firstLine="314"/>
        <w:spacing w:after="0" w:line="302" w:lineRule="auto"/>
        <w:rPr>
          <w:sz w:val="20"/>
          <w:szCs w:val="20"/>
          <w:color w:val="auto"/>
        </w:rPr>
      </w:pPr>
      <w:r>
        <w:rPr>
          <w:rFonts w:ascii="Arial" w:cs="Arial" w:eastAsia="Arial" w:hAnsi="Arial"/>
          <w:sz w:val="15"/>
          <w:szCs w:val="15"/>
          <w:color w:val="auto"/>
        </w:rPr>
        <w:t>As technological advancements are made, we continue to explore opportunities to develop new products and provide new services over our network to meet the needs of our existing and prospective customers. We are currently pursuing initiatives that we expect to expand our satellite communications business and to more effectively utilize the capacity of our network assets. These initiatives include evaluating our product and service offerings in light of the shift in demand across the MSS industry from full Duplex voice and data services to IoT-enabled devices. To align our business model with this evolution, we have temporarily ceased sales of and services to subscribers for certain Duplex devices, such as Sat-Fi2®. We are currently evaluating the profitability of these devices relative to other product and service offerings as well as the capacity required to support these devices relative to other possible uses for the capacity. Integrated with this assessment is the development of a two-way reference design module to expand our Commercial IoT offerings, which is among our other current initiatives.</w:t>
      </w:r>
    </w:p>
    <w:p>
      <w:pPr>
        <w:spacing w:after="0" w:line="180" w:lineRule="exact"/>
        <w:rPr>
          <w:sz w:val="20"/>
          <w:szCs w:val="20"/>
          <w:color w:val="auto"/>
        </w:rPr>
      </w:pPr>
    </w:p>
    <w:p>
      <w:pPr>
        <w:jc w:val="both"/>
        <w:ind w:firstLine="314"/>
        <w:spacing w:after="0" w:line="272" w:lineRule="auto"/>
        <w:rPr>
          <w:sz w:val="20"/>
          <w:szCs w:val="20"/>
          <w:color w:val="auto"/>
        </w:rPr>
      </w:pPr>
      <w:r>
        <w:rPr>
          <w:rFonts w:ascii="Arial" w:cs="Arial" w:eastAsia="Arial" w:hAnsi="Arial"/>
          <w:sz w:val="17"/>
          <w:szCs w:val="17"/>
          <w:color w:val="auto"/>
        </w:rPr>
        <w:t>Our Commercial IoT use cases continue to expand, including deployments that support environmentally friendly initiatives. Recent deployments include remote monitoring of fluid levels and tanks, which replaces the need for motor vehicles to access these assets, as well as asset monitoring solutions for solar lighting and other renewable energy sources.</w:t>
      </w: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24" w:name="page25"/>
    <w:bookmarkEnd w:id="24"/>
    <w:p>
      <w:pPr>
        <w:spacing w:after="0"/>
        <w:rPr>
          <w:sz w:val="20"/>
          <w:szCs w:val="20"/>
          <w:color w:val="auto"/>
        </w:rPr>
      </w:pPr>
      <w:r>
        <w:rPr>
          <w:rFonts w:ascii="Arial" w:cs="Arial" w:eastAsia="Arial" w:hAnsi="Arial"/>
          <w:sz w:val="17"/>
          <w:szCs w:val="17"/>
          <w:i w:val="1"/>
          <w:iCs w:val="1"/>
          <w:color w:val="auto"/>
        </w:rPr>
        <w:t>Customers</w:t>
      </w:r>
    </w:p>
    <w:p>
      <w:pPr>
        <w:spacing w:after="0" w:line="236" w:lineRule="exact"/>
        <w:rPr>
          <w:sz w:val="20"/>
          <w:szCs w:val="20"/>
          <w:color w:val="auto"/>
        </w:rPr>
      </w:pPr>
    </w:p>
    <w:p>
      <w:pPr>
        <w:jc w:val="both"/>
        <w:ind w:firstLine="235"/>
        <w:spacing w:after="0" w:line="263" w:lineRule="auto"/>
        <w:rPr>
          <w:sz w:val="20"/>
          <w:szCs w:val="20"/>
          <w:color w:val="auto"/>
        </w:rPr>
      </w:pPr>
      <w:r>
        <w:rPr>
          <w:rFonts w:ascii="Arial" w:cs="Arial" w:eastAsia="Arial" w:hAnsi="Arial"/>
          <w:sz w:val="17"/>
          <w:szCs w:val="17"/>
          <w:color w:val="auto"/>
        </w:rPr>
        <w:t>The specialized needs of our global customers span many industries. As of September 30, 2021, we had approximately 760,000 subscribers worldwide, principally within the following markets: recreation and personal; government; public safety and disaster relief; oil and gas; maritime and fishing; natural resources, mining and forestry; construction; utilities; and transportation. Our system is able to offer our customers cost-effective communications solutions completely independent of cellular coverage. Although traditional users of wireless telephony and broadband data services have access to these services in developed locations, our customers often operate, travel or live in remote regions or regions with under-developed telecommunications infrastructure where these services are not readily available or are not provided on a reliable basis.</w:t>
      </w:r>
    </w:p>
    <w:p>
      <w:pPr>
        <w:spacing w:after="0" w:line="1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Spectrum and Regulatory Structure</w:t>
      </w:r>
    </w:p>
    <w:p>
      <w:pPr>
        <w:spacing w:after="0" w:line="242"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We benefit from a worldwide allocation of radio frequency spectrum in the international radio frequency tables administered by the International Telecommunications Union ("ITU"). Access to this globally harmonized spectrum enables us to design satellites, networks and terrestrial infrastructure enhancements more cost effectively because the products and services can be deployed and sold worldwide. In addition, this broad spectrum assignment enhances our ability to capitalize on existing and emerging wireless and broadband applications.</w:t>
      </w:r>
    </w:p>
    <w:p>
      <w:pPr>
        <w:spacing w:after="0" w:line="202"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Terrestrial Authority for Globalstar's Licensed 2.4GHz Spectrum</w:t>
      </w:r>
    </w:p>
    <w:p>
      <w:pPr>
        <w:spacing w:after="0" w:line="223"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In August 2017, the FCC modified Globalstar's MSS licenses, granting us authority to provide terrestrial broadband services over 11.5 MHz of our licensed Mobile Satellite Services spectrum, subject to compliance with certain conditions, at 2483.5 to 2495 MHz throughout the United States of America and its Territories.</w:t>
      </w:r>
    </w:p>
    <w:p>
      <w:pPr>
        <w:spacing w:after="0" w:line="185" w:lineRule="exact"/>
        <w:rPr>
          <w:sz w:val="20"/>
          <w:szCs w:val="20"/>
          <w:color w:val="auto"/>
        </w:rPr>
      </w:pPr>
    </w:p>
    <w:p>
      <w:pPr>
        <w:jc w:val="both"/>
        <w:ind w:firstLine="235"/>
        <w:spacing w:after="0" w:line="250" w:lineRule="auto"/>
        <w:rPr>
          <w:sz w:val="20"/>
          <w:szCs w:val="20"/>
          <w:color w:val="auto"/>
        </w:rPr>
      </w:pPr>
      <w:r>
        <w:rPr>
          <w:rFonts w:ascii="Arial" w:cs="Arial" w:eastAsia="Arial" w:hAnsi="Arial"/>
          <w:sz w:val="16"/>
          <w:szCs w:val="16"/>
          <w:color w:val="auto"/>
        </w:rPr>
        <w:t>In December 2018, we successfully completed the Third Generation Partnership Project (“3GPP”) standardization process for the 11.5 MHz of spectrum terrestrially authorized by the FCC. The 3GPP designated the band as Band 53. Additionally, in March 2020, we announced that the 3GPP approved the 5G variant of our Band 53, which is known as n53. This new band class provides a pathway for our terrestrial spectrum to be integrated into handset and infrastructure ecosystems. Additional follow-on 3GPP specifications and approvals are expected in the future. During 2019, we executed a spectrum managers lease with Nokia in order to permit Nokia to utilize Band 53 within its equipment domestically and have such equipment type-certified for sale and deployment.</w:t>
      </w:r>
    </w:p>
    <w:p>
      <w:pPr>
        <w:spacing w:after="0" w:line="192" w:lineRule="exact"/>
        <w:rPr>
          <w:sz w:val="20"/>
          <w:szCs w:val="20"/>
          <w:color w:val="auto"/>
        </w:rPr>
      </w:pPr>
    </w:p>
    <w:p>
      <w:pPr>
        <w:jc w:val="both"/>
        <w:ind w:firstLine="235"/>
        <w:spacing w:after="0"/>
        <w:rPr>
          <w:sz w:val="20"/>
          <w:szCs w:val="20"/>
          <w:color w:val="auto"/>
        </w:rPr>
      </w:pPr>
      <w:r>
        <w:rPr>
          <w:rFonts w:ascii="Arial" w:cs="Arial" w:eastAsia="Arial" w:hAnsi="Arial"/>
          <w:sz w:val="17"/>
          <w:szCs w:val="17"/>
          <w:color w:val="auto"/>
        </w:rPr>
        <w:t>In February 2021, Qualcomm Technologies announced its new Snapdragon X65 modem-RF System, which includes support for Band n53. By having global 5G band support for n53 in Qualcomm Technologies’ 5G solutions, our potential device ecosystem expands significantly to include the most popular smartphones, laptops, tablets, automated equipment and other IoT modules.</w:t>
      </w:r>
    </w:p>
    <w:p>
      <w:pPr>
        <w:spacing w:after="0" w:line="198" w:lineRule="exact"/>
        <w:rPr>
          <w:sz w:val="20"/>
          <w:szCs w:val="20"/>
          <w:color w:val="auto"/>
        </w:rPr>
      </w:pPr>
    </w:p>
    <w:p>
      <w:pPr>
        <w:jc w:val="both"/>
        <w:ind w:firstLine="314"/>
        <w:spacing w:after="0" w:line="236" w:lineRule="auto"/>
        <w:rPr>
          <w:sz w:val="20"/>
          <w:szCs w:val="20"/>
          <w:color w:val="auto"/>
        </w:rPr>
      </w:pPr>
      <w:r>
        <w:rPr>
          <w:rFonts w:ascii="Arial" w:cs="Arial" w:eastAsia="Arial" w:hAnsi="Arial"/>
          <w:sz w:val="17"/>
          <w:szCs w:val="17"/>
          <w:color w:val="auto"/>
        </w:rPr>
        <w:t>We believe our MSS spectrum position provides potential for harmonized terrestrial authority across many international regulatory domains and have been seeking approvals in various international jurisdictions. To date, we have received terrestrial authorizations in various countries, including Brazil, Canada, and South Africa, among others. We expect this global effort to continue for the foreseeable future while we seek additional terrestrial approvals to internationally harmonize our S-band spectrum across the entire 16.5 MHz authority for terrestrial mobile broadband services.</w:t>
      </w:r>
    </w:p>
    <w:p>
      <w:pPr>
        <w:spacing w:after="0" w:line="211"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We expect our terrestrial authority will allow future partners to develop high-density dedicated networks using the TD-LTE protocol for private LTE networks as well as the densification of cellular networks. We believe that our offering has competitive advantages over other conventional commercial spectrum allocations.</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COVID-19</w:t>
      </w:r>
    </w:p>
    <w:p>
      <w:pPr>
        <w:spacing w:after="0" w:line="255" w:lineRule="exact"/>
        <w:rPr>
          <w:sz w:val="20"/>
          <w:szCs w:val="20"/>
          <w:color w:val="auto"/>
        </w:rPr>
      </w:pPr>
    </w:p>
    <w:p>
      <w:pPr>
        <w:jc w:val="both"/>
        <w:ind w:firstLine="314"/>
        <w:spacing w:after="0" w:line="267" w:lineRule="auto"/>
        <w:rPr>
          <w:sz w:val="20"/>
          <w:szCs w:val="20"/>
          <w:color w:val="auto"/>
        </w:rPr>
      </w:pPr>
      <w:r>
        <w:rPr>
          <w:rFonts w:ascii="Arial" w:cs="Arial" w:eastAsia="Arial" w:hAnsi="Arial"/>
          <w:sz w:val="17"/>
          <w:szCs w:val="17"/>
          <w:color w:val="auto"/>
        </w:rPr>
        <w:t>As a result of COVID-19, we experienced an initial reduction in the volume of sales of our subscriber equipment, received requests for service pricing concessions from certain customers, and were impacted by certain of our customers not being able to pay outstanding balances. Our results of operations for the three and nine months ended September 30, 2021 partially reflect this impact; however, we expect that this trend may continue and the full extent of the impact is unknown.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107" w:right="339" w:bottom="1440" w:gutter="0" w:footer="0" w:header="0"/>
        </w:sectPr>
      </w:pPr>
    </w:p>
    <w:bookmarkStart w:id="25" w:name="page26"/>
    <w:bookmarkEnd w:id="25"/>
    <w:p>
      <w:pPr>
        <w:spacing w:after="0"/>
        <w:rPr>
          <w:sz w:val="20"/>
          <w:szCs w:val="20"/>
          <w:color w:val="auto"/>
        </w:rPr>
      </w:pPr>
      <w:r>
        <w:rPr>
          <w:rFonts w:ascii="Arial" w:cs="Arial" w:eastAsia="Arial" w:hAnsi="Arial"/>
          <w:sz w:val="17"/>
          <w:szCs w:val="17"/>
          <w:b w:val="1"/>
          <w:bCs w:val="1"/>
          <w:color w:val="auto"/>
        </w:rPr>
        <w:t>Performance Indicators</w:t>
      </w:r>
    </w:p>
    <w:p>
      <w:pPr>
        <w:spacing w:after="0" w:line="255" w:lineRule="exact"/>
        <w:rPr>
          <w:sz w:val="20"/>
          <w:szCs w:val="20"/>
          <w:color w:val="auto"/>
        </w:rPr>
      </w:pPr>
    </w:p>
    <w:p>
      <w:pPr>
        <w:ind w:firstLine="235"/>
        <w:spacing w:after="0" w:line="288" w:lineRule="auto"/>
        <w:rPr>
          <w:sz w:val="20"/>
          <w:szCs w:val="20"/>
          <w:color w:val="auto"/>
        </w:rPr>
      </w:pPr>
      <w:r>
        <w:rPr>
          <w:rFonts w:ascii="Arial" w:cs="Arial" w:eastAsia="Arial" w:hAnsi="Arial"/>
          <w:sz w:val="17"/>
          <w:szCs w:val="17"/>
          <w:color w:val="auto"/>
        </w:rPr>
        <w:t>Our management reviews and analyzes several key performance indicators in order to manage our business and assess the quality and potential variability of our earnings and cash flows. These key performance indicators include:</w:t>
      </w:r>
    </w:p>
    <w:p>
      <w:pPr>
        <w:spacing w:after="0" w:line="184" w:lineRule="exact"/>
        <w:rPr>
          <w:sz w:val="20"/>
          <w:szCs w:val="20"/>
          <w:color w:val="auto"/>
        </w:rPr>
      </w:pPr>
    </w:p>
    <w:p>
      <w:pPr>
        <w:ind w:left="480" w:hanging="319"/>
        <w:spacing w:after="0"/>
        <w:tabs>
          <w:tab w:leader="none" w:pos="480" w:val="left"/>
        </w:tabs>
        <w:numPr>
          <w:ilvl w:val="0"/>
          <w:numId w:val="7"/>
        </w:numPr>
        <w:rPr>
          <w:rFonts w:ascii="Arial" w:cs="Arial" w:eastAsia="Arial" w:hAnsi="Arial"/>
          <w:sz w:val="17"/>
          <w:szCs w:val="17"/>
          <w:color w:val="auto"/>
        </w:rPr>
      </w:pPr>
      <w:r>
        <w:rPr>
          <w:rFonts w:ascii="Arial" w:cs="Arial" w:eastAsia="Arial" w:hAnsi="Arial"/>
          <w:sz w:val="17"/>
          <w:szCs w:val="17"/>
          <w:color w:val="auto"/>
        </w:rPr>
        <w:t>total revenue, which is an indicator of our overall business growth;</w:t>
      </w:r>
    </w:p>
    <w:p>
      <w:pPr>
        <w:spacing w:after="0" w:line="25" w:lineRule="exact"/>
        <w:rPr>
          <w:rFonts w:ascii="Arial" w:cs="Arial" w:eastAsia="Arial" w:hAnsi="Arial"/>
          <w:sz w:val="17"/>
          <w:szCs w:val="17"/>
          <w:color w:val="auto"/>
        </w:rPr>
      </w:pPr>
    </w:p>
    <w:p>
      <w:pPr>
        <w:ind w:left="480" w:hanging="319"/>
        <w:spacing w:after="0"/>
        <w:tabs>
          <w:tab w:leader="none" w:pos="480" w:val="left"/>
        </w:tabs>
        <w:numPr>
          <w:ilvl w:val="0"/>
          <w:numId w:val="7"/>
        </w:numPr>
        <w:rPr>
          <w:rFonts w:ascii="Arial" w:cs="Arial" w:eastAsia="Arial" w:hAnsi="Arial"/>
          <w:sz w:val="17"/>
          <w:szCs w:val="17"/>
          <w:color w:val="auto"/>
        </w:rPr>
      </w:pPr>
      <w:r>
        <w:rPr>
          <w:rFonts w:ascii="Arial" w:cs="Arial" w:eastAsia="Arial" w:hAnsi="Arial"/>
          <w:sz w:val="17"/>
          <w:szCs w:val="17"/>
          <w:color w:val="auto"/>
        </w:rPr>
        <w:t>subscriber growth and churn rate, which are both indicators of the satisfaction of our customers;</w:t>
      </w:r>
    </w:p>
    <w:p>
      <w:pPr>
        <w:spacing w:after="0" w:line="13" w:lineRule="exact"/>
        <w:rPr>
          <w:rFonts w:ascii="Arial" w:cs="Arial" w:eastAsia="Arial" w:hAnsi="Arial"/>
          <w:sz w:val="17"/>
          <w:szCs w:val="17"/>
          <w:color w:val="auto"/>
        </w:rPr>
      </w:pPr>
    </w:p>
    <w:p>
      <w:pPr>
        <w:ind w:left="480" w:hanging="319"/>
        <w:spacing w:after="0" w:line="256" w:lineRule="auto"/>
        <w:tabs>
          <w:tab w:leader="none" w:pos="476" w:val="left"/>
        </w:tabs>
        <w:numPr>
          <w:ilvl w:val="0"/>
          <w:numId w:val="7"/>
        </w:numPr>
        <w:rPr>
          <w:rFonts w:ascii="Arial" w:cs="Arial" w:eastAsia="Arial" w:hAnsi="Arial"/>
          <w:sz w:val="17"/>
          <w:szCs w:val="17"/>
          <w:color w:val="auto"/>
        </w:rPr>
      </w:pPr>
      <w:r>
        <w:rPr>
          <w:rFonts w:ascii="Arial" w:cs="Arial" w:eastAsia="Arial" w:hAnsi="Arial"/>
          <w:sz w:val="17"/>
          <w:szCs w:val="17"/>
          <w:color w:val="auto"/>
        </w:rPr>
        <w:t>average monthly revenue per user, or ARPU, which is an indicator of our pricing and ability to obtain effectively long-term, high-value customers. We calculate ARPU separately for each type of our subscriber-driven revenue, including Duplex, Commercial IoT and SPOT;</w:t>
      </w:r>
    </w:p>
    <w:p>
      <w:pPr>
        <w:spacing w:after="0" w:line="1" w:lineRule="exact"/>
        <w:rPr>
          <w:rFonts w:ascii="Arial" w:cs="Arial" w:eastAsia="Arial" w:hAnsi="Arial"/>
          <w:sz w:val="17"/>
          <w:szCs w:val="17"/>
          <w:color w:val="auto"/>
        </w:rPr>
      </w:pPr>
    </w:p>
    <w:p>
      <w:pPr>
        <w:ind w:left="480" w:hanging="319"/>
        <w:spacing w:after="0"/>
        <w:tabs>
          <w:tab w:leader="none" w:pos="480" w:val="left"/>
        </w:tabs>
        <w:numPr>
          <w:ilvl w:val="0"/>
          <w:numId w:val="7"/>
        </w:numPr>
        <w:rPr>
          <w:rFonts w:ascii="Arial" w:cs="Arial" w:eastAsia="Arial" w:hAnsi="Arial"/>
          <w:sz w:val="17"/>
          <w:szCs w:val="17"/>
          <w:color w:val="auto"/>
        </w:rPr>
      </w:pPr>
      <w:r>
        <w:rPr>
          <w:rFonts w:ascii="Arial" w:cs="Arial" w:eastAsia="Arial" w:hAnsi="Arial"/>
          <w:sz w:val="17"/>
          <w:szCs w:val="17"/>
          <w:color w:val="auto"/>
        </w:rPr>
        <w:t>operating income and adjusted EBITDA, both of which are indicators of our financial performance; and</w:t>
      </w:r>
    </w:p>
    <w:p>
      <w:pPr>
        <w:spacing w:after="0" w:line="13" w:lineRule="exact"/>
        <w:rPr>
          <w:rFonts w:ascii="Arial" w:cs="Arial" w:eastAsia="Arial" w:hAnsi="Arial"/>
          <w:sz w:val="17"/>
          <w:szCs w:val="17"/>
          <w:color w:val="auto"/>
        </w:rPr>
      </w:pPr>
    </w:p>
    <w:p>
      <w:pPr>
        <w:ind w:left="480" w:hanging="319"/>
        <w:spacing w:after="0"/>
        <w:tabs>
          <w:tab w:leader="none" w:pos="480" w:val="left"/>
        </w:tabs>
        <w:numPr>
          <w:ilvl w:val="0"/>
          <w:numId w:val="7"/>
        </w:numPr>
        <w:rPr>
          <w:rFonts w:ascii="Arial" w:cs="Arial" w:eastAsia="Arial" w:hAnsi="Arial"/>
          <w:sz w:val="17"/>
          <w:szCs w:val="17"/>
          <w:color w:val="auto"/>
        </w:rPr>
      </w:pPr>
      <w:r>
        <w:rPr>
          <w:rFonts w:ascii="Arial" w:cs="Arial" w:eastAsia="Arial" w:hAnsi="Arial"/>
          <w:sz w:val="17"/>
          <w:szCs w:val="17"/>
          <w:color w:val="auto"/>
        </w:rPr>
        <w:t>capital expenditures, which are an indicator of future revenue growth potential and cash requirements.</w:t>
      </w:r>
    </w:p>
    <w:p>
      <w:pPr>
        <w:spacing w:after="0" w:line="23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Comparison of the Results of Operations for the three and nine months ended September 30, 2021 and 2020</w:t>
      </w:r>
    </w:p>
    <w:p>
      <w:pPr>
        <w:spacing w:after="0" w:line="249"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Revenue</w:t>
      </w:r>
    </w:p>
    <w:p>
      <w:pPr>
        <w:spacing w:after="0" w:line="255" w:lineRule="exact"/>
        <w:rPr>
          <w:sz w:val="20"/>
          <w:szCs w:val="20"/>
          <w:color w:val="auto"/>
        </w:rPr>
      </w:pPr>
    </w:p>
    <w:p>
      <w:pPr>
        <w:jc w:val="both"/>
        <w:ind w:firstLine="235"/>
        <w:spacing w:after="0" w:line="271" w:lineRule="auto"/>
        <w:rPr>
          <w:sz w:val="20"/>
          <w:szCs w:val="20"/>
          <w:color w:val="auto"/>
        </w:rPr>
      </w:pPr>
      <w:r>
        <w:rPr>
          <w:rFonts w:ascii="Arial" w:cs="Arial" w:eastAsia="Arial" w:hAnsi="Arial"/>
          <w:sz w:val="16"/>
          <w:szCs w:val="16"/>
          <w:color w:val="auto"/>
        </w:rPr>
        <w:t>Our revenue is categorized as service revenue and equipment revenue. We provide services to customers using technology from our satellite and ground network. Equipment revenue is generated from the sale of devices that work over our network. Total revenue decreased less than 1% to $32.6 million for the three months ended September 30, 2021 from $32.8 million for the same period in 2020 and decreased 6% to $89.8 million for the nine months ended September 30, 2021 from $95.3 million for the same period in 2020. See below for a further discussion of the fluctuations in revenue.</w:t>
      </w:r>
    </w:p>
    <w:p>
      <w:pPr>
        <w:spacing w:after="0" w:line="188" w:lineRule="exact"/>
        <w:rPr>
          <w:sz w:val="20"/>
          <w:szCs w:val="20"/>
          <w:color w:val="auto"/>
        </w:rPr>
      </w:pPr>
    </w:p>
    <w:p>
      <w:pPr>
        <w:ind w:left="240"/>
        <w:spacing w:after="0"/>
        <w:rPr>
          <w:sz w:val="20"/>
          <w:szCs w:val="20"/>
          <w:color w:val="auto"/>
        </w:rPr>
      </w:pPr>
      <w:r>
        <w:rPr>
          <w:rFonts w:ascii="Arial" w:cs="Arial" w:eastAsia="Arial" w:hAnsi="Arial"/>
          <w:sz w:val="17"/>
          <w:szCs w:val="17"/>
          <w:color w:val="auto"/>
        </w:rPr>
        <w:t>The following table sets forth amounts and percentages of our revenue by type of service (dollars in thousands).</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7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240" w:type="dxa"/>
            <w:vAlign w:val="bottom"/>
            <w:gridSpan w:val="4"/>
          </w:tcPr>
          <w:p>
            <w:pPr>
              <w:ind w:left="300"/>
              <w:spacing w:after="0"/>
              <w:rPr>
                <w:sz w:val="20"/>
                <w:szCs w:val="20"/>
                <w:color w:val="auto"/>
              </w:rPr>
            </w:pPr>
            <w:r>
              <w:rPr>
                <w:rFonts w:ascii="Arial" w:cs="Arial" w:eastAsia="Arial" w:hAnsi="Arial"/>
                <w:sz w:val="16"/>
                <w:szCs w:val="16"/>
                <w:color w:val="auto"/>
              </w:rPr>
              <w:t>Three Months Ended</w:t>
            </w:r>
          </w:p>
        </w:tc>
        <w:tc>
          <w:tcPr>
            <w:tcW w:w="160" w:type="dxa"/>
            <w:vAlign w:val="bottom"/>
          </w:tcPr>
          <w:p>
            <w:pPr>
              <w:spacing w:after="0"/>
              <w:rPr>
                <w:sz w:val="16"/>
                <w:szCs w:val="16"/>
                <w:color w:val="auto"/>
              </w:rPr>
            </w:pPr>
          </w:p>
        </w:tc>
        <w:tc>
          <w:tcPr>
            <w:tcW w:w="2240" w:type="dxa"/>
            <w:vAlign w:val="bottom"/>
            <w:gridSpan w:val="4"/>
          </w:tcPr>
          <w:p>
            <w:pPr>
              <w:ind w:left="300"/>
              <w:spacing w:after="0"/>
              <w:rPr>
                <w:sz w:val="20"/>
                <w:szCs w:val="20"/>
                <w:color w:val="auto"/>
              </w:rPr>
            </w:pPr>
            <w:r>
              <w:rPr>
                <w:rFonts w:ascii="Arial" w:cs="Arial" w:eastAsia="Arial" w:hAnsi="Arial"/>
                <w:sz w:val="16"/>
                <w:szCs w:val="16"/>
                <w:color w:val="auto"/>
              </w:rPr>
              <w:t>Three Months Ended</w:t>
            </w:r>
          </w:p>
        </w:tc>
        <w:tc>
          <w:tcPr>
            <w:tcW w:w="160" w:type="dxa"/>
            <w:vAlign w:val="bottom"/>
          </w:tcPr>
          <w:p>
            <w:pPr>
              <w:spacing w:after="0"/>
              <w:rPr>
                <w:sz w:val="16"/>
                <w:szCs w:val="16"/>
                <w:color w:val="auto"/>
              </w:rPr>
            </w:pPr>
          </w:p>
        </w:tc>
        <w:tc>
          <w:tcPr>
            <w:tcW w:w="2260" w:type="dxa"/>
            <w:vAlign w:val="bottom"/>
            <w:gridSpan w:val="4"/>
          </w:tcPr>
          <w:p>
            <w:pPr>
              <w:ind w:left="340"/>
              <w:spacing w:after="0"/>
              <w:rPr>
                <w:sz w:val="20"/>
                <w:szCs w:val="20"/>
                <w:color w:val="auto"/>
              </w:rPr>
            </w:pPr>
            <w:r>
              <w:rPr>
                <w:rFonts w:ascii="Arial" w:cs="Arial" w:eastAsia="Arial" w:hAnsi="Arial"/>
                <w:sz w:val="16"/>
                <w:szCs w:val="16"/>
                <w:color w:val="auto"/>
              </w:rPr>
              <w:t>Nine Months Ended</w:t>
            </w:r>
          </w:p>
        </w:tc>
        <w:tc>
          <w:tcPr>
            <w:tcW w:w="160" w:type="dxa"/>
            <w:vAlign w:val="bottom"/>
          </w:tcPr>
          <w:p>
            <w:pPr>
              <w:spacing w:after="0"/>
              <w:rPr>
                <w:sz w:val="16"/>
                <w:szCs w:val="16"/>
                <w:color w:val="auto"/>
              </w:rPr>
            </w:pPr>
          </w:p>
        </w:tc>
        <w:tc>
          <w:tcPr>
            <w:tcW w:w="2160" w:type="dxa"/>
            <w:vAlign w:val="bottom"/>
            <w:gridSpan w:val="3"/>
          </w:tcPr>
          <w:p>
            <w:pPr>
              <w:ind w:left="340"/>
              <w:spacing w:after="0"/>
              <w:rPr>
                <w:sz w:val="20"/>
                <w:szCs w:val="20"/>
                <w:color w:val="auto"/>
              </w:rPr>
            </w:pPr>
            <w:r>
              <w:rPr>
                <w:rFonts w:ascii="Arial" w:cs="Arial" w:eastAsia="Arial" w:hAnsi="Arial"/>
                <w:sz w:val="16"/>
                <w:szCs w:val="16"/>
                <w:color w:val="auto"/>
              </w:rPr>
              <w:t>Nine Months Ended</w:t>
            </w:r>
          </w:p>
        </w:tc>
        <w:tc>
          <w:tcPr>
            <w:tcW w:w="0" w:type="dxa"/>
            <w:vAlign w:val="bottom"/>
          </w:tcPr>
          <w:p>
            <w:pPr>
              <w:spacing w:after="0"/>
              <w:rPr>
                <w:sz w:val="1"/>
                <w:szCs w:val="1"/>
                <w:color w:val="auto"/>
              </w:rPr>
            </w:pPr>
          </w:p>
        </w:tc>
      </w:tr>
      <w:tr>
        <w:trPr>
          <w:trHeight w:val="203"/>
        </w:trPr>
        <w:tc>
          <w:tcPr>
            <w:tcW w:w="17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2140" w:type="dxa"/>
            <w:vAlign w:val="bottom"/>
            <w:tcBorders>
              <w:bottom w:val="single" w:sz="8" w:color="auto"/>
            </w:tcBorders>
            <w:gridSpan w:val="3"/>
          </w:tcPr>
          <w:p>
            <w:pPr>
              <w:jc w:val="right"/>
              <w:ind w:right="442"/>
              <w:spacing w:after="0"/>
              <w:rPr>
                <w:sz w:val="20"/>
                <w:szCs w:val="20"/>
                <w:color w:val="auto"/>
              </w:rPr>
            </w:pPr>
            <w:r>
              <w:rPr>
                <w:rFonts w:ascii="Arial" w:cs="Arial" w:eastAsia="Arial" w:hAnsi="Arial"/>
                <w:sz w:val="16"/>
                <w:szCs w:val="16"/>
                <w:color w:val="auto"/>
              </w:rPr>
              <w:t>September 30, 2021</w:t>
            </w:r>
          </w:p>
        </w:tc>
        <w:tc>
          <w:tcPr>
            <w:tcW w:w="1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2140" w:type="dxa"/>
            <w:vAlign w:val="bottom"/>
            <w:tcBorders>
              <w:bottom w:val="single" w:sz="8" w:color="auto"/>
            </w:tcBorders>
            <w:gridSpan w:val="3"/>
          </w:tcPr>
          <w:p>
            <w:pPr>
              <w:jc w:val="right"/>
              <w:ind w:right="442"/>
              <w:spacing w:after="0"/>
              <w:rPr>
                <w:sz w:val="20"/>
                <w:szCs w:val="20"/>
                <w:color w:val="auto"/>
              </w:rPr>
            </w:pPr>
            <w:r>
              <w:rPr>
                <w:rFonts w:ascii="Arial" w:cs="Arial" w:eastAsia="Arial" w:hAnsi="Arial"/>
                <w:sz w:val="16"/>
                <w:szCs w:val="16"/>
                <w:color w:val="auto"/>
              </w:rPr>
              <w:t>September 30, 2020</w:t>
            </w:r>
          </w:p>
        </w:tc>
        <w:tc>
          <w:tcPr>
            <w:tcW w:w="1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2160" w:type="dxa"/>
            <w:vAlign w:val="bottom"/>
            <w:tcBorders>
              <w:bottom w:val="single" w:sz="8" w:color="auto"/>
            </w:tcBorders>
            <w:gridSpan w:val="3"/>
          </w:tcPr>
          <w:p>
            <w:pPr>
              <w:jc w:val="right"/>
              <w:ind w:right="462"/>
              <w:spacing w:after="0"/>
              <w:rPr>
                <w:sz w:val="20"/>
                <w:szCs w:val="20"/>
                <w:color w:val="auto"/>
              </w:rPr>
            </w:pPr>
            <w:r>
              <w:rPr>
                <w:rFonts w:ascii="Arial" w:cs="Arial" w:eastAsia="Arial" w:hAnsi="Arial"/>
                <w:sz w:val="16"/>
                <w:szCs w:val="16"/>
                <w:color w:val="auto"/>
              </w:rPr>
              <w:t>September 30, 2021</w:t>
            </w:r>
          </w:p>
        </w:tc>
        <w:tc>
          <w:tcPr>
            <w:tcW w:w="1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2160" w:type="dxa"/>
            <w:vAlign w:val="bottom"/>
            <w:tcBorders>
              <w:bottom w:val="single" w:sz="8" w:color="auto"/>
            </w:tcBorders>
            <w:gridSpan w:val="3"/>
          </w:tcPr>
          <w:p>
            <w:pPr>
              <w:ind w:left="380"/>
              <w:spacing w:after="0"/>
              <w:rPr>
                <w:sz w:val="20"/>
                <w:szCs w:val="20"/>
                <w:color w:val="auto"/>
              </w:rPr>
            </w:pPr>
            <w:r>
              <w:rPr>
                <w:rFonts w:ascii="Arial" w:cs="Arial" w:eastAsia="Arial" w:hAnsi="Arial"/>
                <w:sz w:val="16"/>
                <w:szCs w:val="16"/>
                <w:color w:val="auto"/>
              </w:rPr>
              <w:t>September 30, 2020</w:t>
            </w:r>
          </w:p>
        </w:tc>
        <w:tc>
          <w:tcPr>
            <w:tcW w:w="0" w:type="dxa"/>
            <w:vAlign w:val="bottom"/>
          </w:tcPr>
          <w:p>
            <w:pPr>
              <w:spacing w:after="0"/>
              <w:rPr>
                <w:sz w:val="1"/>
                <w:szCs w:val="1"/>
                <w:color w:val="auto"/>
              </w:rPr>
            </w:pPr>
          </w:p>
        </w:tc>
      </w:tr>
      <w:tr>
        <w:trPr>
          <w:trHeight w:val="156"/>
        </w:trPr>
        <w:tc>
          <w:tcPr>
            <w:tcW w:w="17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60" w:type="dxa"/>
            <w:vAlign w:val="bottom"/>
            <w:gridSpan w:val="2"/>
            <w:vMerge w:val="restart"/>
          </w:tcPr>
          <w:p>
            <w:pPr>
              <w:ind w:left="80"/>
              <w:spacing w:after="0"/>
              <w:rPr>
                <w:sz w:val="20"/>
                <w:szCs w:val="20"/>
                <w:color w:val="auto"/>
              </w:rPr>
            </w:pPr>
            <w:r>
              <w:rPr>
                <w:rFonts w:ascii="Arial" w:cs="Arial" w:eastAsia="Arial" w:hAnsi="Arial"/>
                <w:sz w:val="16"/>
                <w:szCs w:val="16"/>
                <w:color w:val="auto"/>
              </w:rPr>
              <w:t>Revenue</w:t>
            </w:r>
          </w:p>
        </w:tc>
        <w:tc>
          <w:tcPr>
            <w:tcW w:w="1280" w:type="dxa"/>
            <w:vAlign w:val="bottom"/>
            <w:gridSpan w:val="2"/>
          </w:tcPr>
          <w:p>
            <w:pPr>
              <w:jc w:val="center"/>
              <w:ind w:right="100"/>
              <w:spacing w:after="0" w:line="156" w:lineRule="exact"/>
              <w:rPr>
                <w:sz w:val="20"/>
                <w:szCs w:val="20"/>
                <w:color w:val="auto"/>
              </w:rPr>
            </w:pPr>
            <w:r>
              <w:rPr>
                <w:rFonts w:ascii="Arial" w:cs="Arial" w:eastAsia="Arial" w:hAnsi="Arial"/>
                <w:sz w:val="16"/>
                <w:szCs w:val="16"/>
                <w:color w:val="auto"/>
                <w:w w:val="91"/>
              </w:rPr>
              <w:t>% of Total</w:t>
            </w:r>
          </w:p>
        </w:tc>
        <w:tc>
          <w:tcPr>
            <w:tcW w:w="160" w:type="dxa"/>
            <w:vAlign w:val="bottom"/>
          </w:tcPr>
          <w:p>
            <w:pPr>
              <w:spacing w:after="0"/>
              <w:rPr>
                <w:sz w:val="13"/>
                <w:szCs w:val="13"/>
                <w:color w:val="auto"/>
              </w:rPr>
            </w:pPr>
          </w:p>
        </w:tc>
        <w:tc>
          <w:tcPr>
            <w:tcW w:w="960" w:type="dxa"/>
            <w:vAlign w:val="bottom"/>
            <w:gridSpan w:val="2"/>
            <w:vMerge w:val="restart"/>
          </w:tcPr>
          <w:p>
            <w:pPr>
              <w:ind w:left="80"/>
              <w:spacing w:after="0"/>
              <w:rPr>
                <w:sz w:val="20"/>
                <w:szCs w:val="20"/>
                <w:color w:val="auto"/>
              </w:rPr>
            </w:pPr>
            <w:r>
              <w:rPr>
                <w:rFonts w:ascii="Arial" w:cs="Arial" w:eastAsia="Arial" w:hAnsi="Arial"/>
                <w:sz w:val="16"/>
                <w:szCs w:val="16"/>
                <w:color w:val="auto"/>
              </w:rPr>
              <w:t>Revenue</w:t>
            </w:r>
          </w:p>
        </w:tc>
        <w:tc>
          <w:tcPr>
            <w:tcW w:w="1280" w:type="dxa"/>
            <w:vAlign w:val="bottom"/>
            <w:gridSpan w:val="2"/>
          </w:tcPr>
          <w:p>
            <w:pPr>
              <w:jc w:val="center"/>
              <w:ind w:right="100"/>
              <w:spacing w:after="0" w:line="156" w:lineRule="exact"/>
              <w:rPr>
                <w:sz w:val="20"/>
                <w:szCs w:val="20"/>
                <w:color w:val="auto"/>
              </w:rPr>
            </w:pPr>
            <w:r>
              <w:rPr>
                <w:rFonts w:ascii="Arial" w:cs="Arial" w:eastAsia="Arial" w:hAnsi="Arial"/>
                <w:sz w:val="16"/>
                <w:szCs w:val="16"/>
                <w:color w:val="auto"/>
                <w:w w:val="91"/>
              </w:rPr>
              <w:t>% of Total</w:t>
            </w:r>
          </w:p>
        </w:tc>
        <w:tc>
          <w:tcPr>
            <w:tcW w:w="160" w:type="dxa"/>
            <w:vAlign w:val="bottom"/>
          </w:tcPr>
          <w:p>
            <w:pPr>
              <w:spacing w:after="0"/>
              <w:rPr>
                <w:sz w:val="13"/>
                <w:szCs w:val="13"/>
                <w:color w:val="auto"/>
              </w:rPr>
            </w:pPr>
          </w:p>
        </w:tc>
        <w:tc>
          <w:tcPr>
            <w:tcW w:w="980" w:type="dxa"/>
            <w:vAlign w:val="bottom"/>
            <w:gridSpan w:val="2"/>
            <w:vMerge w:val="restart"/>
          </w:tcPr>
          <w:p>
            <w:pPr>
              <w:ind w:left="80"/>
              <w:spacing w:after="0"/>
              <w:rPr>
                <w:sz w:val="20"/>
                <w:szCs w:val="20"/>
                <w:color w:val="auto"/>
              </w:rPr>
            </w:pPr>
            <w:r>
              <w:rPr>
                <w:rFonts w:ascii="Arial" w:cs="Arial" w:eastAsia="Arial" w:hAnsi="Arial"/>
                <w:sz w:val="16"/>
                <w:szCs w:val="16"/>
                <w:color w:val="auto"/>
              </w:rPr>
              <w:t>Revenue</w:t>
            </w:r>
          </w:p>
        </w:tc>
        <w:tc>
          <w:tcPr>
            <w:tcW w:w="1280" w:type="dxa"/>
            <w:vAlign w:val="bottom"/>
            <w:gridSpan w:val="2"/>
          </w:tcPr>
          <w:p>
            <w:pPr>
              <w:jc w:val="center"/>
              <w:ind w:right="100"/>
              <w:spacing w:after="0" w:line="156" w:lineRule="exact"/>
              <w:rPr>
                <w:sz w:val="20"/>
                <w:szCs w:val="20"/>
                <w:color w:val="auto"/>
              </w:rPr>
            </w:pPr>
            <w:r>
              <w:rPr>
                <w:rFonts w:ascii="Arial" w:cs="Arial" w:eastAsia="Arial" w:hAnsi="Arial"/>
                <w:sz w:val="16"/>
                <w:szCs w:val="16"/>
                <w:color w:val="auto"/>
                <w:w w:val="91"/>
              </w:rPr>
              <w:t>% of Total</w:t>
            </w:r>
          </w:p>
        </w:tc>
        <w:tc>
          <w:tcPr>
            <w:tcW w:w="160" w:type="dxa"/>
            <w:vAlign w:val="bottom"/>
          </w:tcPr>
          <w:p>
            <w:pPr>
              <w:spacing w:after="0"/>
              <w:rPr>
                <w:sz w:val="13"/>
                <w:szCs w:val="13"/>
                <w:color w:val="auto"/>
              </w:rPr>
            </w:pPr>
          </w:p>
        </w:tc>
        <w:tc>
          <w:tcPr>
            <w:tcW w:w="980" w:type="dxa"/>
            <w:vAlign w:val="bottom"/>
            <w:gridSpan w:val="2"/>
            <w:vMerge w:val="restart"/>
          </w:tcPr>
          <w:p>
            <w:pPr>
              <w:ind w:left="80"/>
              <w:spacing w:after="0"/>
              <w:rPr>
                <w:sz w:val="20"/>
                <w:szCs w:val="20"/>
                <w:color w:val="auto"/>
              </w:rPr>
            </w:pPr>
            <w:r>
              <w:rPr>
                <w:rFonts w:ascii="Arial" w:cs="Arial" w:eastAsia="Arial" w:hAnsi="Arial"/>
                <w:sz w:val="16"/>
                <w:szCs w:val="16"/>
                <w:color w:val="auto"/>
              </w:rPr>
              <w:t>Revenue</w:t>
            </w:r>
          </w:p>
        </w:tc>
        <w:tc>
          <w:tcPr>
            <w:tcW w:w="1180" w:type="dxa"/>
            <w:vAlign w:val="bottom"/>
          </w:tcPr>
          <w:p>
            <w:pPr>
              <w:ind w:left="260"/>
              <w:spacing w:after="0" w:line="156" w:lineRule="exact"/>
              <w:rPr>
                <w:sz w:val="20"/>
                <w:szCs w:val="20"/>
                <w:color w:val="auto"/>
              </w:rPr>
            </w:pPr>
            <w:r>
              <w:rPr>
                <w:rFonts w:ascii="Arial" w:cs="Arial" w:eastAsia="Arial" w:hAnsi="Arial"/>
                <w:sz w:val="16"/>
                <w:szCs w:val="16"/>
                <w:color w:val="auto"/>
              </w:rPr>
              <w:t>% of Total</w:t>
            </w:r>
          </w:p>
        </w:tc>
        <w:tc>
          <w:tcPr>
            <w:tcW w:w="0" w:type="dxa"/>
            <w:vAlign w:val="bottom"/>
          </w:tcPr>
          <w:p>
            <w:pPr>
              <w:spacing w:after="0"/>
              <w:rPr>
                <w:sz w:val="1"/>
                <w:szCs w:val="1"/>
                <w:color w:val="auto"/>
              </w:rPr>
            </w:pPr>
          </w:p>
        </w:tc>
      </w:tr>
      <w:tr>
        <w:trPr>
          <w:trHeight w:val="200"/>
        </w:trPr>
        <w:tc>
          <w:tcPr>
            <w:tcW w:w="1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60" w:type="dxa"/>
            <w:vAlign w:val="bottom"/>
            <w:gridSpan w:val="2"/>
            <w:vMerge w:val="continue"/>
          </w:tcPr>
          <w:p>
            <w:pPr>
              <w:spacing w:after="0"/>
              <w:rPr>
                <w:sz w:val="17"/>
                <w:szCs w:val="17"/>
                <w:color w:val="auto"/>
              </w:rPr>
            </w:pPr>
          </w:p>
        </w:tc>
        <w:tc>
          <w:tcPr>
            <w:tcW w:w="1280" w:type="dxa"/>
            <w:vAlign w:val="bottom"/>
            <w:gridSpan w:val="2"/>
          </w:tcPr>
          <w:p>
            <w:pPr>
              <w:jc w:val="center"/>
              <w:ind w:right="120"/>
              <w:spacing w:after="0"/>
              <w:rPr>
                <w:sz w:val="20"/>
                <w:szCs w:val="20"/>
                <w:color w:val="auto"/>
              </w:rPr>
            </w:pPr>
            <w:r>
              <w:rPr>
                <w:rFonts w:ascii="Arial" w:cs="Arial" w:eastAsia="Arial" w:hAnsi="Arial"/>
                <w:sz w:val="16"/>
                <w:szCs w:val="16"/>
                <w:color w:val="auto"/>
                <w:w w:val="87"/>
              </w:rPr>
              <w:t>Revenue</w:t>
            </w:r>
          </w:p>
        </w:tc>
        <w:tc>
          <w:tcPr>
            <w:tcW w:w="160" w:type="dxa"/>
            <w:vAlign w:val="bottom"/>
          </w:tcPr>
          <w:p>
            <w:pPr>
              <w:spacing w:after="0"/>
              <w:rPr>
                <w:sz w:val="17"/>
                <w:szCs w:val="17"/>
                <w:color w:val="auto"/>
              </w:rPr>
            </w:pPr>
          </w:p>
        </w:tc>
        <w:tc>
          <w:tcPr>
            <w:tcW w:w="960" w:type="dxa"/>
            <w:vAlign w:val="bottom"/>
            <w:gridSpan w:val="2"/>
            <w:vMerge w:val="continue"/>
          </w:tcPr>
          <w:p>
            <w:pPr>
              <w:spacing w:after="0"/>
              <w:rPr>
                <w:sz w:val="17"/>
                <w:szCs w:val="17"/>
                <w:color w:val="auto"/>
              </w:rPr>
            </w:pPr>
          </w:p>
        </w:tc>
        <w:tc>
          <w:tcPr>
            <w:tcW w:w="1280" w:type="dxa"/>
            <w:vAlign w:val="bottom"/>
            <w:gridSpan w:val="2"/>
          </w:tcPr>
          <w:p>
            <w:pPr>
              <w:jc w:val="center"/>
              <w:ind w:right="100"/>
              <w:spacing w:after="0"/>
              <w:rPr>
                <w:sz w:val="20"/>
                <w:szCs w:val="20"/>
                <w:color w:val="auto"/>
              </w:rPr>
            </w:pPr>
            <w:r>
              <w:rPr>
                <w:rFonts w:ascii="Arial" w:cs="Arial" w:eastAsia="Arial" w:hAnsi="Arial"/>
                <w:sz w:val="16"/>
                <w:szCs w:val="16"/>
                <w:color w:val="auto"/>
                <w:w w:val="84"/>
              </w:rPr>
              <w:t>Revenue</w:t>
            </w:r>
          </w:p>
        </w:tc>
        <w:tc>
          <w:tcPr>
            <w:tcW w:w="160" w:type="dxa"/>
            <w:vAlign w:val="bottom"/>
          </w:tcPr>
          <w:p>
            <w:pPr>
              <w:spacing w:after="0"/>
              <w:rPr>
                <w:sz w:val="17"/>
                <w:szCs w:val="17"/>
                <w:color w:val="auto"/>
              </w:rPr>
            </w:pPr>
          </w:p>
        </w:tc>
        <w:tc>
          <w:tcPr>
            <w:tcW w:w="980" w:type="dxa"/>
            <w:vAlign w:val="bottom"/>
            <w:gridSpan w:val="2"/>
            <w:vMerge w:val="continue"/>
          </w:tcPr>
          <w:p>
            <w:pPr>
              <w:spacing w:after="0"/>
              <w:rPr>
                <w:sz w:val="17"/>
                <w:szCs w:val="17"/>
                <w:color w:val="auto"/>
              </w:rPr>
            </w:pPr>
          </w:p>
        </w:tc>
        <w:tc>
          <w:tcPr>
            <w:tcW w:w="1280" w:type="dxa"/>
            <w:vAlign w:val="bottom"/>
            <w:gridSpan w:val="2"/>
          </w:tcPr>
          <w:p>
            <w:pPr>
              <w:jc w:val="center"/>
              <w:ind w:right="100"/>
              <w:spacing w:after="0"/>
              <w:rPr>
                <w:sz w:val="20"/>
                <w:szCs w:val="20"/>
                <w:color w:val="auto"/>
              </w:rPr>
            </w:pPr>
            <w:r>
              <w:rPr>
                <w:rFonts w:ascii="Arial" w:cs="Arial" w:eastAsia="Arial" w:hAnsi="Arial"/>
                <w:sz w:val="16"/>
                <w:szCs w:val="16"/>
                <w:color w:val="auto"/>
                <w:w w:val="84"/>
              </w:rPr>
              <w:t>Revenue</w:t>
            </w:r>
          </w:p>
        </w:tc>
        <w:tc>
          <w:tcPr>
            <w:tcW w:w="160" w:type="dxa"/>
            <w:vAlign w:val="bottom"/>
          </w:tcPr>
          <w:p>
            <w:pPr>
              <w:spacing w:after="0"/>
              <w:rPr>
                <w:sz w:val="17"/>
                <w:szCs w:val="17"/>
                <w:color w:val="auto"/>
              </w:rPr>
            </w:pPr>
          </w:p>
        </w:tc>
        <w:tc>
          <w:tcPr>
            <w:tcW w:w="980" w:type="dxa"/>
            <w:vAlign w:val="bottom"/>
            <w:gridSpan w:val="2"/>
            <w:vMerge w:val="continue"/>
          </w:tcPr>
          <w:p>
            <w:pPr>
              <w:spacing w:after="0"/>
              <w:rPr>
                <w:sz w:val="17"/>
                <w:szCs w:val="17"/>
                <w:color w:val="auto"/>
              </w:rPr>
            </w:pPr>
          </w:p>
        </w:tc>
        <w:tc>
          <w:tcPr>
            <w:tcW w:w="1180" w:type="dxa"/>
            <w:vAlign w:val="bottom"/>
          </w:tcPr>
          <w:p>
            <w:pPr>
              <w:ind w:left="320"/>
              <w:spacing w:after="0"/>
              <w:rPr>
                <w:sz w:val="20"/>
                <w:szCs w:val="20"/>
                <w:color w:val="auto"/>
              </w:rPr>
            </w:pPr>
            <w:r>
              <w:rPr>
                <w:rFonts w:ascii="Arial" w:cs="Arial" w:eastAsia="Arial" w:hAnsi="Arial"/>
                <w:sz w:val="16"/>
                <w:szCs w:val="16"/>
                <w:color w:val="auto"/>
              </w:rPr>
              <w:t>Revenue</w:t>
            </w:r>
          </w:p>
        </w:tc>
        <w:tc>
          <w:tcPr>
            <w:tcW w:w="0" w:type="dxa"/>
            <w:vAlign w:val="bottom"/>
          </w:tcPr>
          <w:p>
            <w:pPr>
              <w:spacing w:after="0"/>
              <w:rPr>
                <w:sz w:val="1"/>
                <w:szCs w:val="1"/>
                <w:color w:val="auto"/>
              </w:rPr>
            </w:pPr>
          </w:p>
        </w:tc>
      </w:tr>
      <w:tr>
        <w:trPr>
          <w:trHeight w:val="205"/>
        </w:trPr>
        <w:tc>
          <w:tcPr>
            <w:tcW w:w="1700" w:type="dxa"/>
            <w:vAlign w:val="bottom"/>
          </w:tcPr>
          <w:p>
            <w:pPr>
              <w:ind w:left="20"/>
              <w:spacing w:after="0"/>
              <w:rPr>
                <w:sz w:val="20"/>
                <w:szCs w:val="20"/>
                <w:color w:val="auto"/>
              </w:rPr>
            </w:pPr>
            <w:r>
              <w:rPr>
                <w:rFonts w:ascii="Arial" w:cs="Arial" w:eastAsia="Arial" w:hAnsi="Arial"/>
                <w:sz w:val="16"/>
                <w:szCs w:val="16"/>
                <w:color w:val="auto"/>
              </w:rPr>
              <w:t>Service revenue:</w:t>
            </w:r>
          </w:p>
        </w:tc>
        <w:tc>
          <w:tcPr>
            <w:tcW w:w="16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17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Duplex</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9,632</w:t>
            </w: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30 %</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9,956</w:t>
            </w: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30 %</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23,530</w:t>
            </w: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26 %</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shd w:val="clear" w:color="auto" w:fill="CCEEFF"/>
          </w:tcPr>
          <w:p>
            <w:pPr>
              <w:ind w:left="380"/>
              <w:spacing w:after="0"/>
              <w:rPr>
                <w:sz w:val="20"/>
                <w:szCs w:val="20"/>
                <w:color w:val="auto"/>
              </w:rPr>
            </w:pPr>
            <w:r>
              <w:rPr>
                <w:rFonts w:ascii="Arial" w:cs="Arial" w:eastAsia="Arial" w:hAnsi="Arial"/>
                <w:sz w:val="16"/>
                <w:szCs w:val="16"/>
                <w:color w:val="auto"/>
                <w:w w:val="93"/>
              </w:rPr>
              <w:t>26,175</w:t>
            </w: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ind w:left="840"/>
              <w:spacing w:after="0"/>
              <w:rPr>
                <w:sz w:val="20"/>
                <w:szCs w:val="20"/>
                <w:color w:val="auto"/>
              </w:rPr>
            </w:pPr>
            <w:r>
              <w:rPr>
                <w:rFonts w:ascii="Arial" w:cs="Arial" w:eastAsia="Arial" w:hAnsi="Arial"/>
                <w:sz w:val="16"/>
                <w:szCs w:val="16"/>
                <w:color w:val="auto"/>
                <w:w w:val="87"/>
              </w:rPr>
              <w:t>27 %</w:t>
            </w:r>
          </w:p>
        </w:tc>
        <w:tc>
          <w:tcPr>
            <w:tcW w:w="0" w:type="dxa"/>
            <w:vAlign w:val="bottom"/>
          </w:tcPr>
          <w:p>
            <w:pPr>
              <w:spacing w:after="0"/>
              <w:rPr>
                <w:sz w:val="1"/>
                <w:szCs w:val="1"/>
                <w:color w:val="auto"/>
              </w:rPr>
            </w:pPr>
          </w:p>
        </w:tc>
      </w:tr>
      <w:tr>
        <w:trPr>
          <w:trHeight w:val="206"/>
        </w:trPr>
        <w:tc>
          <w:tcPr>
            <w:tcW w:w="1700" w:type="dxa"/>
            <w:vAlign w:val="bottom"/>
          </w:tcPr>
          <w:p>
            <w:pPr>
              <w:ind w:left="220"/>
              <w:spacing w:after="0"/>
              <w:rPr>
                <w:sz w:val="20"/>
                <w:szCs w:val="20"/>
                <w:color w:val="auto"/>
              </w:rPr>
            </w:pPr>
            <w:r>
              <w:rPr>
                <w:rFonts w:ascii="Arial" w:cs="Arial" w:eastAsia="Arial" w:hAnsi="Arial"/>
                <w:sz w:val="16"/>
                <w:szCs w:val="16"/>
                <w:color w:val="auto"/>
              </w:rPr>
              <w:t>SPOT</w:t>
            </w:r>
          </w:p>
        </w:tc>
        <w:tc>
          <w:tcPr>
            <w:tcW w:w="16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11,873</w:t>
            </w:r>
          </w:p>
        </w:tc>
        <w:tc>
          <w:tcPr>
            <w:tcW w:w="120" w:type="dxa"/>
            <w:vAlign w:val="bottom"/>
          </w:tcPr>
          <w:p>
            <w:pPr>
              <w:spacing w:after="0"/>
              <w:rPr>
                <w:sz w:val="17"/>
                <w:szCs w:val="17"/>
                <w:color w:val="auto"/>
              </w:rPr>
            </w:pPr>
          </w:p>
        </w:tc>
        <w:tc>
          <w:tcPr>
            <w:tcW w:w="1180" w:type="dxa"/>
            <w:vAlign w:val="bottom"/>
          </w:tcPr>
          <w:p>
            <w:pPr>
              <w:jc w:val="right"/>
              <w:ind w:right="122"/>
              <w:spacing w:after="0"/>
              <w:rPr>
                <w:sz w:val="20"/>
                <w:szCs w:val="20"/>
                <w:color w:val="auto"/>
              </w:rPr>
            </w:pPr>
            <w:r>
              <w:rPr>
                <w:rFonts w:ascii="Arial" w:cs="Arial" w:eastAsia="Arial" w:hAnsi="Arial"/>
                <w:sz w:val="16"/>
                <w:szCs w:val="16"/>
                <w:color w:val="auto"/>
              </w:rPr>
              <w:t>35</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60" w:type="dxa"/>
            <w:vAlign w:val="bottom"/>
          </w:tcPr>
          <w:p>
            <w:pPr>
              <w:jc w:val="right"/>
              <w:ind w:right="2"/>
              <w:spacing w:after="0"/>
              <w:rPr>
                <w:sz w:val="20"/>
                <w:szCs w:val="20"/>
                <w:color w:val="auto"/>
              </w:rPr>
            </w:pPr>
            <w:r>
              <w:rPr>
                <w:rFonts w:ascii="Arial" w:cs="Arial" w:eastAsia="Arial" w:hAnsi="Arial"/>
                <w:sz w:val="16"/>
                <w:szCs w:val="16"/>
                <w:color w:val="auto"/>
              </w:rPr>
              <w:t>11,396</w:t>
            </w:r>
          </w:p>
        </w:tc>
        <w:tc>
          <w:tcPr>
            <w:tcW w:w="100" w:type="dxa"/>
            <w:vAlign w:val="bottom"/>
          </w:tcPr>
          <w:p>
            <w:pPr>
              <w:spacing w:after="0"/>
              <w:rPr>
                <w:sz w:val="17"/>
                <w:szCs w:val="17"/>
                <w:color w:val="auto"/>
              </w:rPr>
            </w:pPr>
          </w:p>
        </w:tc>
        <w:tc>
          <w:tcPr>
            <w:tcW w:w="1180" w:type="dxa"/>
            <w:vAlign w:val="bottom"/>
          </w:tcPr>
          <w:p>
            <w:pPr>
              <w:jc w:val="right"/>
              <w:ind w:right="122"/>
              <w:spacing w:after="0"/>
              <w:rPr>
                <w:sz w:val="20"/>
                <w:szCs w:val="20"/>
                <w:color w:val="auto"/>
              </w:rPr>
            </w:pPr>
            <w:r>
              <w:rPr>
                <w:rFonts w:ascii="Arial" w:cs="Arial" w:eastAsia="Arial" w:hAnsi="Arial"/>
                <w:sz w:val="16"/>
                <w:szCs w:val="16"/>
                <w:color w:val="auto"/>
              </w:rPr>
              <w:t>35</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jc w:val="right"/>
              <w:ind w:right="2"/>
              <w:spacing w:after="0"/>
              <w:rPr>
                <w:sz w:val="20"/>
                <w:szCs w:val="20"/>
                <w:color w:val="auto"/>
              </w:rPr>
            </w:pPr>
            <w:r>
              <w:rPr>
                <w:rFonts w:ascii="Arial" w:cs="Arial" w:eastAsia="Arial" w:hAnsi="Arial"/>
                <w:sz w:val="16"/>
                <w:szCs w:val="16"/>
                <w:color w:val="auto"/>
              </w:rPr>
              <w:t>33,996</w:t>
            </w:r>
          </w:p>
        </w:tc>
        <w:tc>
          <w:tcPr>
            <w:tcW w:w="100" w:type="dxa"/>
            <w:vAlign w:val="bottom"/>
          </w:tcPr>
          <w:p>
            <w:pPr>
              <w:spacing w:after="0"/>
              <w:rPr>
                <w:sz w:val="17"/>
                <w:szCs w:val="17"/>
                <w:color w:val="auto"/>
              </w:rPr>
            </w:pPr>
          </w:p>
        </w:tc>
        <w:tc>
          <w:tcPr>
            <w:tcW w:w="1180" w:type="dxa"/>
            <w:vAlign w:val="bottom"/>
          </w:tcPr>
          <w:p>
            <w:pPr>
              <w:jc w:val="right"/>
              <w:ind w:right="122"/>
              <w:spacing w:after="0"/>
              <w:rPr>
                <w:sz w:val="20"/>
                <w:szCs w:val="20"/>
                <w:color w:val="auto"/>
              </w:rPr>
            </w:pPr>
            <w:r>
              <w:rPr>
                <w:rFonts w:ascii="Arial" w:cs="Arial" w:eastAsia="Arial" w:hAnsi="Arial"/>
                <w:sz w:val="16"/>
                <w:szCs w:val="16"/>
                <w:color w:val="auto"/>
              </w:rPr>
              <w:t>38</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60" w:type="dxa"/>
            <w:vAlign w:val="bottom"/>
          </w:tcPr>
          <w:p>
            <w:pPr>
              <w:ind w:left="380"/>
              <w:spacing w:after="0"/>
              <w:rPr>
                <w:sz w:val="20"/>
                <w:szCs w:val="20"/>
                <w:color w:val="auto"/>
              </w:rPr>
            </w:pPr>
            <w:r>
              <w:rPr>
                <w:rFonts w:ascii="Arial" w:cs="Arial" w:eastAsia="Arial" w:hAnsi="Arial"/>
                <w:sz w:val="16"/>
                <w:szCs w:val="16"/>
                <w:color w:val="auto"/>
                <w:w w:val="93"/>
              </w:rPr>
              <w:t>35,098</w:t>
            </w:r>
          </w:p>
        </w:tc>
        <w:tc>
          <w:tcPr>
            <w:tcW w:w="120" w:type="dxa"/>
            <w:vAlign w:val="bottom"/>
          </w:tcPr>
          <w:p>
            <w:pPr>
              <w:spacing w:after="0"/>
              <w:rPr>
                <w:sz w:val="17"/>
                <w:szCs w:val="17"/>
                <w:color w:val="auto"/>
              </w:rPr>
            </w:pPr>
          </w:p>
        </w:tc>
        <w:tc>
          <w:tcPr>
            <w:tcW w:w="1180" w:type="dxa"/>
            <w:vAlign w:val="bottom"/>
          </w:tcPr>
          <w:p>
            <w:pPr>
              <w:ind w:left="840"/>
              <w:spacing w:after="0"/>
              <w:rPr>
                <w:sz w:val="20"/>
                <w:szCs w:val="20"/>
                <w:color w:val="auto"/>
              </w:rPr>
            </w:pPr>
            <w:r>
              <w:rPr>
                <w:rFonts w:ascii="Arial" w:cs="Arial" w:eastAsia="Arial" w:hAnsi="Arial"/>
                <w:sz w:val="16"/>
                <w:szCs w:val="16"/>
                <w:color w:val="auto"/>
              </w:rPr>
              <w:t>37</w:t>
            </w:r>
          </w:p>
        </w:tc>
        <w:tc>
          <w:tcPr>
            <w:tcW w:w="0" w:type="dxa"/>
            <w:vAlign w:val="bottom"/>
          </w:tcPr>
          <w:p>
            <w:pPr>
              <w:spacing w:after="0"/>
              <w:rPr>
                <w:sz w:val="1"/>
                <w:szCs w:val="1"/>
                <w:color w:val="auto"/>
              </w:rPr>
            </w:pPr>
          </w:p>
        </w:tc>
      </w:tr>
      <w:tr>
        <w:trPr>
          <w:trHeight w:val="212"/>
        </w:trPr>
        <w:tc>
          <w:tcPr>
            <w:tcW w:w="17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Commercial IoT</w:t>
            </w: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4,458</w:t>
            </w: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14</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4,420</w:t>
            </w: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13</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13,443</w:t>
            </w: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15</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ind w:left="380"/>
              <w:spacing w:after="0"/>
              <w:rPr>
                <w:sz w:val="20"/>
                <w:szCs w:val="20"/>
                <w:color w:val="auto"/>
              </w:rPr>
            </w:pPr>
            <w:r>
              <w:rPr>
                <w:rFonts w:ascii="Arial" w:cs="Arial" w:eastAsia="Arial" w:hAnsi="Arial"/>
                <w:sz w:val="16"/>
                <w:szCs w:val="16"/>
                <w:color w:val="auto"/>
                <w:w w:val="93"/>
              </w:rPr>
              <w:t>13,028</w:t>
            </w: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ind w:left="840"/>
              <w:spacing w:after="0"/>
              <w:rPr>
                <w:sz w:val="20"/>
                <w:szCs w:val="20"/>
                <w:color w:val="auto"/>
              </w:rPr>
            </w:pPr>
            <w:r>
              <w:rPr>
                <w:rFonts w:ascii="Arial" w:cs="Arial" w:eastAsia="Arial" w:hAnsi="Arial"/>
                <w:sz w:val="16"/>
                <w:szCs w:val="16"/>
                <w:color w:val="auto"/>
              </w:rPr>
              <w:t>14</w:t>
            </w:r>
          </w:p>
        </w:tc>
        <w:tc>
          <w:tcPr>
            <w:tcW w:w="0" w:type="dxa"/>
            <w:vAlign w:val="bottom"/>
          </w:tcPr>
          <w:p>
            <w:pPr>
              <w:spacing w:after="0"/>
              <w:rPr>
                <w:sz w:val="1"/>
                <w:szCs w:val="1"/>
                <w:color w:val="auto"/>
              </w:rPr>
            </w:pPr>
          </w:p>
        </w:tc>
      </w:tr>
      <w:tr>
        <w:trPr>
          <w:trHeight w:val="206"/>
        </w:trPr>
        <w:tc>
          <w:tcPr>
            <w:tcW w:w="1700" w:type="dxa"/>
            <w:vAlign w:val="bottom"/>
            <w:tcBorders>
              <w:bottom w:val="single" w:sz="8" w:color="CCEEFF"/>
            </w:tcBorders>
          </w:tcPr>
          <w:p>
            <w:pPr>
              <w:ind w:left="220"/>
              <w:spacing w:after="0"/>
              <w:rPr>
                <w:sz w:val="20"/>
                <w:szCs w:val="20"/>
                <w:color w:val="auto"/>
              </w:rPr>
            </w:pPr>
            <w:r>
              <w:rPr>
                <w:rFonts w:ascii="Arial" w:cs="Arial" w:eastAsia="Arial" w:hAnsi="Arial"/>
                <w:sz w:val="16"/>
                <w:szCs w:val="16"/>
                <w:color w:val="auto"/>
                <w:w w:val="92"/>
              </w:rPr>
              <w:t>Engineering and other</w:t>
            </w:r>
          </w:p>
        </w:tc>
        <w:tc>
          <w:tcPr>
            <w:tcW w:w="16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1,885</w:t>
            </w:r>
          </w:p>
        </w:tc>
        <w:tc>
          <w:tcPr>
            <w:tcW w:w="120" w:type="dxa"/>
            <w:vAlign w:val="bottom"/>
            <w:tcBorders>
              <w:bottom w:val="single" w:sz="8" w:color="CCEEFF"/>
            </w:tcBorders>
          </w:tcPr>
          <w:p>
            <w:pPr>
              <w:spacing w:after="0"/>
              <w:rPr>
                <w:sz w:val="17"/>
                <w:szCs w:val="17"/>
                <w:color w:val="auto"/>
              </w:rPr>
            </w:pPr>
          </w:p>
        </w:tc>
        <w:tc>
          <w:tcPr>
            <w:tcW w:w="1180" w:type="dxa"/>
            <w:vAlign w:val="bottom"/>
            <w:tcBorders>
              <w:bottom w:val="single" w:sz="8" w:color="auto"/>
            </w:tcBorders>
          </w:tcPr>
          <w:p>
            <w:pPr>
              <w:jc w:val="right"/>
              <w:ind w:right="122"/>
              <w:spacing w:after="0"/>
              <w:rPr>
                <w:sz w:val="20"/>
                <w:szCs w:val="20"/>
                <w:color w:val="auto"/>
              </w:rPr>
            </w:pPr>
            <w:r>
              <w:rPr>
                <w:rFonts w:ascii="Arial" w:cs="Arial" w:eastAsia="Arial" w:hAnsi="Arial"/>
                <w:sz w:val="16"/>
                <w:szCs w:val="16"/>
                <w:color w:val="auto"/>
              </w:rPr>
              <w:t>6</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2,613</w:t>
            </w:r>
          </w:p>
        </w:tc>
        <w:tc>
          <w:tcPr>
            <w:tcW w:w="100" w:type="dxa"/>
            <w:vAlign w:val="bottom"/>
            <w:tcBorders>
              <w:bottom w:val="single" w:sz="8" w:color="CCEEFF"/>
            </w:tcBorders>
          </w:tcPr>
          <w:p>
            <w:pPr>
              <w:spacing w:after="0"/>
              <w:rPr>
                <w:sz w:val="17"/>
                <w:szCs w:val="17"/>
                <w:color w:val="auto"/>
              </w:rPr>
            </w:pPr>
          </w:p>
        </w:tc>
        <w:tc>
          <w:tcPr>
            <w:tcW w:w="1180" w:type="dxa"/>
            <w:vAlign w:val="bottom"/>
            <w:tcBorders>
              <w:bottom w:val="single" w:sz="8" w:color="auto"/>
            </w:tcBorders>
          </w:tcPr>
          <w:p>
            <w:pPr>
              <w:jc w:val="right"/>
              <w:ind w:right="122"/>
              <w:spacing w:after="0"/>
              <w:rPr>
                <w:sz w:val="20"/>
                <w:szCs w:val="20"/>
                <w:color w:val="auto"/>
              </w:rPr>
            </w:pPr>
            <w:r>
              <w:rPr>
                <w:rFonts w:ascii="Arial" w:cs="Arial" w:eastAsia="Arial" w:hAnsi="Arial"/>
                <w:sz w:val="16"/>
                <w:szCs w:val="16"/>
                <w:color w:val="auto"/>
              </w:rPr>
              <w:t>8</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5,582</w:t>
            </w:r>
          </w:p>
        </w:tc>
        <w:tc>
          <w:tcPr>
            <w:tcW w:w="100" w:type="dxa"/>
            <w:vAlign w:val="bottom"/>
            <w:tcBorders>
              <w:bottom w:val="single" w:sz="8" w:color="CCEEFF"/>
            </w:tcBorders>
          </w:tcPr>
          <w:p>
            <w:pPr>
              <w:spacing w:after="0"/>
              <w:rPr>
                <w:sz w:val="17"/>
                <w:szCs w:val="17"/>
                <w:color w:val="auto"/>
              </w:rPr>
            </w:pPr>
          </w:p>
        </w:tc>
        <w:tc>
          <w:tcPr>
            <w:tcW w:w="1180" w:type="dxa"/>
            <w:vAlign w:val="bottom"/>
            <w:tcBorders>
              <w:bottom w:val="single" w:sz="8" w:color="auto"/>
            </w:tcBorders>
          </w:tcPr>
          <w:p>
            <w:pPr>
              <w:jc w:val="right"/>
              <w:ind w:right="122"/>
              <w:spacing w:after="0"/>
              <w:rPr>
                <w:sz w:val="20"/>
                <w:szCs w:val="20"/>
                <w:color w:val="auto"/>
              </w:rPr>
            </w:pPr>
            <w:r>
              <w:rPr>
                <w:rFonts w:ascii="Arial" w:cs="Arial" w:eastAsia="Arial" w:hAnsi="Arial"/>
                <w:sz w:val="16"/>
                <w:szCs w:val="16"/>
                <w:color w:val="auto"/>
              </w:rPr>
              <w:t>6</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ind w:left="380"/>
              <w:spacing w:after="0"/>
              <w:rPr>
                <w:sz w:val="20"/>
                <w:szCs w:val="20"/>
                <w:color w:val="auto"/>
              </w:rPr>
            </w:pPr>
            <w:r>
              <w:rPr>
                <w:rFonts w:ascii="Arial" w:cs="Arial" w:eastAsia="Arial" w:hAnsi="Arial"/>
                <w:sz w:val="16"/>
                <w:szCs w:val="16"/>
                <w:color w:val="auto"/>
                <w:w w:val="93"/>
              </w:rPr>
              <w:t>10,109</w:t>
            </w:r>
          </w:p>
        </w:tc>
        <w:tc>
          <w:tcPr>
            <w:tcW w:w="120" w:type="dxa"/>
            <w:vAlign w:val="bottom"/>
            <w:tcBorders>
              <w:bottom w:val="single" w:sz="8" w:color="CCEEFF"/>
            </w:tcBorders>
          </w:tcPr>
          <w:p>
            <w:pPr>
              <w:spacing w:after="0"/>
              <w:rPr>
                <w:sz w:val="17"/>
                <w:szCs w:val="17"/>
                <w:color w:val="auto"/>
              </w:rPr>
            </w:pPr>
          </w:p>
        </w:tc>
        <w:tc>
          <w:tcPr>
            <w:tcW w:w="1180" w:type="dxa"/>
            <w:vAlign w:val="bottom"/>
            <w:tcBorders>
              <w:bottom w:val="single" w:sz="8" w:color="auto"/>
            </w:tcBorders>
          </w:tcPr>
          <w:p>
            <w:pPr>
              <w:ind w:left="840"/>
              <w:spacing w:after="0"/>
              <w:rPr>
                <w:sz w:val="20"/>
                <w:szCs w:val="20"/>
                <w:color w:val="auto"/>
              </w:rPr>
            </w:pPr>
            <w:r>
              <w:rPr>
                <w:rFonts w:ascii="Arial" w:cs="Arial" w:eastAsia="Arial" w:hAnsi="Arial"/>
                <w:sz w:val="16"/>
                <w:szCs w:val="16"/>
                <w:color w:val="auto"/>
              </w:rPr>
              <w:t>10</w:t>
            </w:r>
          </w:p>
        </w:tc>
        <w:tc>
          <w:tcPr>
            <w:tcW w:w="0" w:type="dxa"/>
            <w:vAlign w:val="bottom"/>
          </w:tcPr>
          <w:p>
            <w:pPr>
              <w:spacing w:after="0"/>
              <w:rPr>
                <w:sz w:val="1"/>
                <w:szCs w:val="1"/>
                <w:color w:val="auto"/>
              </w:rPr>
            </w:pPr>
          </w:p>
        </w:tc>
      </w:tr>
      <w:tr>
        <w:trPr>
          <w:trHeight w:val="230"/>
        </w:trPr>
        <w:tc>
          <w:tcPr>
            <w:tcW w:w="170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6"/>
                <w:szCs w:val="16"/>
                <w:color w:val="auto"/>
              </w:rPr>
              <w:t>Total</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27,848</w:t>
            </w:r>
          </w:p>
        </w:tc>
        <w:tc>
          <w:tcPr>
            <w:tcW w:w="120" w:type="dxa"/>
            <w:vAlign w:val="bottom"/>
            <w:tcBorders>
              <w:bottom w:val="single" w:sz="8" w:color="CCEEFF"/>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85 %</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28,385</w:t>
            </w:r>
          </w:p>
        </w:tc>
        <w:tc>
          <w:tcPr>
            <w:tcW w:w="100" w:type="dxa"/>
            <w:vAlign w:val="bottom"/>
            <w:tcBorders>
              <w:bottom w:val="single" w:sz="8" w:color="CCEEFF"/>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86 %</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76,551</w:t>
            </w:r>
          </w:p>
        </w:tc>
        <w:tc>
          <w:tcPr>
            <w:tcW w:w="100" w:type="dxa"/>
            <w:vAlign w:val="bottom"/>
            <w:tcBorders>
              <w:bottom w:val="single" w:sz="8" w:color="CCEEFF"/>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85 %</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ind w:left="380"/>
              <w:spacing w:after="0"/>
              <w:rPr>
                <w:sz w:val="20"/>
                <w:szCs w:val="20"/>
                <w:color w:val="auto"/>
              </w:rPr>
            </w:pPr>
            <w:r>
              <w:rPr>
                <w:rFonts w:ascii="Arial" w:cs="Arial" w:eastAsia="Arial" w:hAnsi="Arial"/>
                <w:sz w:val="16"/>
                <w:szCs w:val="16"/>
                <w:color w:val="auto"/>
                <w:w w:val="93"/>
              </w:rPr>
              <w:t>84,410</w:t>
            </w:r>
          </w:p>
        </w:tc>
        <w:tc>
          <w:tcPr>
            <w:tcW w:w="120" w:type="dxa"/>
            <w:vAlign w:val="bottom"/>
            <w:tcBorders>
              <w:bottom w:val="single" w:sz="8" w:color="CCEEFF"/>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ind w:left="840"/>
              <w:spacing w:after="0"/>
              <w:rPr>
                <w:sz w:val="20"/>
                <w:szCs w:val="20"/>
                <w:color w:val="auto"/>
              </w:rPr>
            </w:pPr>
            <w:r>
              <w:rPr>
                <w:rFonts w:ascii="Arial" w:cs="Arial" w:eastAsia="Arial" w:hAnsi="Arial"/>
                <w:sz w:val="16"/>
                <w:szCs w:val="16"/>
                <w:color w:val="auto"/>
                <w:w w:val="87"/>
              </w:rPr>
              <w:t>88 %</w:t>
            </w:r>
          </w:p>
        </w:tc>
        <w:tc>
          <w:tcPr>
            <w:tcW w:w="0" w:type="dxa"/>
            <w:vAlign w:val="bottom"/>
          </w:tcPr>
          <w:p>
            <w:pPr>
              <w:spacing w:after="0"/>
              <w:rPr>
                <w:sz w:val="1"/>
                <w:szCs w:val="1"/>
                <w:color w:val="auto"/>
              </w:rPr>
            </w:pPr>
          </w:p>
        </w:tc>
      </w:tr>
      <w:tr>
        <w:trPr>
          <w:trHeight w:val="20"/>
        </w:trPr>
        <w:tc>
          <w:tcPr>
            <w:tcW w:w="17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75" w:lineRule="exact"/>
        <w:rPr>
          <w:sz w:val="20"/>
          <w:szCs w:val="20"/>
          <w:color w:val="auto"/>
        </w:rPr>
      </w:pPr>
    </w:p>
    <w:p>
      <w:pPr>
        <w:ind w:left="240"/>
        <w:spacing w:after="0"/>
        <w:rPr>
          <w:sz w:val="20"/>
          <w:szCs w:val="20"/>
          <w:color w:val="auto"/>
        </w:rPr>
      </w:pPr>
      <w:r>
        <w:rPr>
          <w:rFonts w:ascii="Arial" w:cs="Arial" w:eastAsia="Arial" w:hAnsi="Arial"/>
          <w:sz w:val="17"/>
          <w:szCs w:val="17"/>
          <w:color w:val="auto"/>
        </w:rPr>
        <w:t>The following table sets forth amounts and percentages of our revenue generated from equipment sales (dollars in thousands).</w:t>
      </w:r>
    </w:p>
    <w:p>
      <w:pPr>
        <w:spacing w:after="0" w:line="120"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20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180" w:type="dxa"/>
            <w:vAlign w:val="bottom"/>
            <w:gridSpan w:val="4"/>
          </w:tcPr>
          <w:p>
            <w:pPr>
              <w:ind w:left="280"/>
              <w:spacing w:after="0"/>
              <w:rPr>
                <w:sz w:val="20"/>
                <w:szCs w:val="20"/>
                <w:color w:val="auto"/>
              </w:rPr>
            </w:pPr>
            <w:r>
              <w:rPr>
                <w:rFonts w:ascii="Arial" w:cs="Arial" w:eastAsia="Arial" w:hAnsi="Arial"/>
                <w:sz w:val="16"/>
                <w:szCs w:val="16"/>
                <w:color w:val="auto"/>
              </w:rPr>
              <w:t>Three Months Ended</w:t>
            </w:r>
          </w:p>
        </w:tc>
        <w:tc>
          <w:tcPr>
            <w:tcW w:w="160" w:type="dxa"/>
            <w:vAlign w:val="bottom"/>
          </w:tcPr>
          <w:p>
            <w:pPr>
              <w:spacing w:after="0"/>
              <w:rPr>
                <w:sz w:val="16"/>
                <w:szCs w:val="16"/>
                <w:color w:val="auto"/>
              </w:rPr>
            </w:pPr>
          </w:p>
        </w:tc>
        <w:tc>
          <w:tcPr>
            <w:tcW w:w="2180" w:type="dxa"/>
            <w:vAlign w:val="bottom"/>
            <w:gridSpan w:val="4"/>
          </w:tcPr>
          <w:p>
            <w:pPr>
              <w:ind w:left="280"/>
              <w:spacing w:after="0"/>
              <w:rPr>
                <w:sz w:val="20"/>
                <w:szCs w:val="20"/>
                <w:color w:val="auto"/>
              </w:rPr>
            </w:pPr>
            <w:r>
              <w:rPr>
                <w:rFonts w:ascii="Arial" w:cs="Arial" w:eastAsia="Arial" w:hAnsi="Arial"/>
                <w:sz w:val="16"/>
                <w:szCs w:val="16"/>
                <w:color w:val="auto"/>
              </w:rPr>
              <w:t>Three Months Ended</w:t>
            </w:r>
          </w:p>
        </w:tc>
        <w:tc>
          <w:tcPr>
            <w:tcW w:w="160" w:type="dxa"/>
            <w:vAlign w:val="bottom"/>
          </w:tcPr>
          <w:p>
            <w:pPr>
              <w:spacing w:after="0"/>
              <w:rPr>
                <w:sz w:val="16"/>
                <w:szCs w:val="16"/>
                <w:color w:val="auto"/>
              </w:rPr>
            </w:pPr>
          </w:p>
        </w:tc>
        <w:tc>
          <w:tcPr>
            <w:tcW w:w="2180" w:type="dxa"/>
            <w:vAlign w:val="bottom"/>
            <w:gridSpan w:val="4"/>
          </w:tcPr>
          <w:p>
            <w:pPr>
              <w:ind w:left="300"/>
              <w:spacing w:after="0"/>
              <w:rPr>
                <w:sz w:val="20"/>
                <w:szCs w:val="20"/>
                <w:color w:val="auto"/>
              </w:rPr>
            </w:pPr>
            <w:r>
              <w:rPr>
                <w:rFonts w:ascii="Arial" w:cs="Arial" w:eastAsia="Arial" w:hAnsi="Arial"/>
                <w:sz w:val="16"/>
                <w:szCs w:val="16"/>
                <w:color w:val="auto"/>
              </w:rPr>
              <w:t>Nine Months Ended</w:t>
            </w:r>
          </w:p>
        </w:tc>
        <w:tc>
          <w:tcPr>
            <w:tcW w:w="160" w:type="dxa"/>
            <w:vAlign w:val="bottom"/>
          </w:tcPr>
          <w:p>
            <w:pPr>
              <w:spacing w:after="0"/>
              <w:rPr>
                <w:sz w:val="16"/>
                <w:szCs w:val="16"/>
                <w:color w:val="auto"/>
              </w:rPr>
            </w:pPr>
          </w:p>
        </w:tc>
        <w:tc>
          <w:tcPr>
            <w:tcW w:w="2080" w:type="dxa"/>
            <w:vAlign w:val="bottom"/>
            <w:gridSpan w:val="3"/>
          </w:tcPr>
          <w:p>
            <w:pPr>
              <w:jc w:val="right"/>
              <w:ind w:right="422"/>
              <w:spacing w:after="0"/>
              <w:rPr>
                <w:sz w:val="20"/>
                <w:szCs w:val="20"/>
                <w:color w:val="auto"/>
              </w:rPr>
            </w:pPr>
            <w:r>
              <w:rPr>
                <w:rFonts w:ascii="Arial" w:cs="Arial" w:eastAsia="Arial" w:hAnsi="Arial"/>
                <w:sz w:val="16"/>
                <w:szCs w:val="16"/>
                <w:color w:val="auto"/>
              </w:rPr>
              <w:t>Nine Months Ended</w:t>
            </w:r>
          </w:p>
        </w:tc>
        <w:tc>
          <w:tcPr>
            <w:tcW w:w="0" w:type="dxa"/>
            <w:vAlign w:val="bottom"/>
          </w:tcPr>
          <w:p>
            <w:pPr>
              <w:spacing w:after="0"/>
              <w:rPr>
                <w:sz w:val="1"/>
                <w:szCs w:val="1"/>
                <w:color w:val="auto"/>
              </w:rPr>
            </w:pPr>
          </w:p>
        </w:tc>
      </w:tr>
      <w:tr>
        <w:trPr>
          <w:trHeight w:val="203"/>
        </w:trPr>
        <w:tc>
          <w:tcPr>
            <w:tcW w:w="200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080" w:type="dxa"/>
            <w:vAlign w:val="bottom"/>
            <w:tcBorders>
              <w:bottom w:val="single" w:sz="8" w:color="auto"/>
            </w:tcBorders>
            <w:gridSpan w:val="3"/>
          </w:tcPr>
          <w:p>
            <w:pPr>
              <w:jc w:val="right"/>
              <w:ind w:right="402"/>
              <w:spacing w:after="0"/>
              <w:rPr>
                <w:sz w:val="20"/>
                <w:szCs w:val="20"/>
                <w:color w:val="auto"/>
              </w:rPr>
            </w:pPr>
            <w:r>
              <w:rPr>
                <w:rFonts w:ascii="Arial" w:cs="Arial" w:eastAsia="Arial" w:hAnsi="Arial"/>
                <w:sz w:val="16"/>
                <w:szCs w:val="16"/>
                <w:color w:val="auto"/>
              </w:rPr>
              <w:t>September 30, 2021</w:t>
            </w:r>
          </w:p>
        </w:tc>
        <w:tc>
          <w:tcPr>
            <w:tcW w:w="1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2080" w:type="dxa"/>
            <w:vAlign w:val="bottom"/>
            <w:tcBorders>
              <w:bottom w:val="single" w:sz="8" w:color="auto"/>
            </w:tcBorders>
            <w:gridSpan w:val="3"/>
          </w:tcPr>
          <w:p>
            <w:pPr>
              <w:jc w:val="right"/>
              <w:ind w:right="422"/>
              <w:spacing w:after="0"/>
              <w:rPr>
                <w:sz w:val="20"/>
                <w:szCs w:val="20"/>
                <w:color w:val="auto"/>
              </w:rPr>
            </w:pPr>
            <w:r>
              <w:rPr>
                <w:rFonts w:ascii="Arial" w:cs="Arial" w:eastAsia="Arial" w:hAnsi="Arial"/>
                <w:sz w:val="16"/>
                <w:szCs w:val="16"/>
                <w:color w:val="auto"/>
              </w:rPr>
              <w:t>September 30, 2020</w:t>
            </w:r>
          </w:p>
        </w:tc>
        <w:tc>
          <w:tcPr>
            <w:tcW w:w="1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2080" w:type="dxa"/>
            <w:vAlign w:val="bottom"/>
            <w:tcBorders>
              <w:bottom w:val="single" w:sz="8" w:color="auto"/>
            </w:tcBorders>
            <w:gridSpan w:val="3"/>
          </w:tcPr>
          <w:p>
            <w:pPr>
              <w:jc w:val="right"/>
              <w:ind w:right="422"/>
              <w:spacing w:after="0"/>
              <w:rPr>
                <w:sz w:val="20"/>
                <w:szCs w:val="20"/>
                <w:color w:val="auto"/>
              </w:rPr>
            </w:pPr>
            <w:r>
              <w:rPr>
                <w:rFonts w:ascii="Arial" w:cs="Arial" w:eastAsia="Arial" w:hAnsi="Arial"/>
                <w:sz w:val="16"/>
                <w:szCs w:val="16"/>
                <w:color w:val="auto"/>
              </w:rPr>
              <w:t>September 30, 2021</w:t>
            </w:r>
          </w:p>
        </w:tc>
        <w:tc>
          <w:tcPr>
            <w:tcW w:w="1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2080" w:type="dxa"/>
            <w:vAlign w:val="bottom"/>
            <w:tcBorders>
              <w:bottom w:val="single" w:sz="8" w:color="auto"/>
            </w:tcBorders>
            <w:gridSpan w:val="3"/>
          </w:tcPr>
          <w:p>
            <w:pPr>
              <w:jc w:val="right"/>
              <w:ind w:right="422"/>
              <w:spacing w:after="0"/>
              <w:rPr>
                <w:sz w:val="20"/>
                <w:szCs w:val="20"/>
                <w:color w:val="auto"/>
              </w:rPr>
            </w:pPr>
            <w:r>
              <w:rPr>
                <w:rFonts w:ascii="Arial" w:cs="Arial" w:eastAsia="Arial" w:hAnsi="Arial"/>
                <w:sz w:val="16"/>
                <w:szCs w:val="16"/>
                <w:color w:val="auto"/>
              </w:rPr>
              <w:t>September 30, 2020</w:t>
            </w:r>
          </w:p>
        </w:tc>
        <w:tc>
          <w:tcPr>
            <w:tcW w:w="0" w:type="dxa"/>
            <w:vAlign w:val="bottom"/>
          </w:tcPr>
          <w:p>
            <w:pPr>
              <w:spacing w:after="0"/>
              <w:rPr>
                <w:sz w:val="1"/>
                <w:szCs w:val="1"/>
                <w:color w:val="auto"/>
              </w:rPr>
            </w:pPr>
          </w:p>
        </w:tc>
      </w:tr>
      <w:tr>
        <w:trPr>
          <w:trHeight w:val="156"/>
        </w:trPr>
        <w:tc>
          <w:tcPr>
            <w:tcW w:w="20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40" w:type="dxa"/>
            <w:vAlign w:val="bottom"/>
            <w:gridSpan w:val="2"/>
            <w:vMerge w:val="restart"/>
          </w:tcPr>
          <w:p>
            <w:pPr>
              <w:ind w:left="60"/>
              <w:spacing w:after="0"/>
              <w:rPr>
                <w:sz w:val="20"/>
                <w:szCs w:val="20"/>
                <w:color w:val="auto"/>
              </w:rPr>
            </w:pPr>
            <w:r>
              <w:rPr>
                <w:rFonts w:ascii="Arial" w:cs="Arial" w:eastAsia="Arial" w:hAnsi="Arial"/>
                <w:sz w:val="16"/>
                <w:szCs w:val="16"/>
                <w:color w:val="auto"/>
              </w:rPr>
              <w:t>Revenue</w:t>
            </w:r>
          </w:p>
        </w:tc>
        <w:tc>
          <w:tcPr>
            <w:tcW w:w="1240" w:type="dxa"/>
            <w:vAlign w:val="bottom"/>
            <w:gridSpan w:val="2"/>
          </w:tcPr>
          <w:p>
            <w:pPr>
              <w:jc w:val="center"/>
              <w:ind w:right="100"/>
              <w:spacing w:after="0" w:line="156" w:lineRule="exact"/>
              <w:rPr>
                <w:sz w:val="20"/>
                <w:szCs w:val="20"/>
                <w:color w:val="auto"/>
              </w:rPr>
            </w:pPr>
            <w:r>
              <w:rPr>
                <w:rFonts w:ascii="Arial" w:cs="Arial" w:eastAsia="Arial" w:hAnsi="Arial"/>
                <w:sz w:val="16"/>
                <w:szCs w:val="16"/>
                <w:color w:val="auto"/>
                <w:w w:val="91"/>
              </w:rPr>
              <w:t>% of Total</w:t>
            </w:r>
          </w:p>
        </w:tc>
        <w:tc>
          <w:tcPr>
            <w:tcW w:w="160" w:type="dxa"/>
            <w:vAlign w:val="bottom"/>
          </w:tcPr>
          <w:p>
            <w:pPr>
              <w:spacing w:after="0"/>
              <w:rPr>
                <w:sz w:val="13"/>
                <w:szCs w:val="13"/>
                <w:color w:val="auto"/>
              </w:rPr>
            </w:pPr>
          </w:p>
        </w:tc>
        <w:tc>
          <w:tcPr>
            <w:tcW w:w="940" w:type="dxa"/>
            <w:vAlign w:val="bottom"/>
            <w:gridSpan w:val="2"/>
            <w:vMerge w:val="restart"/>
          </w:tcPr>
          <w:p>
            <w:pPr>
              <w:ind w:left="60"/>
              <w:spacing w:after="0"/>
              <w:rPr>
                <w:sz w:val="20"/>
                <w:szCs w:val="20"/>
                <w:color w:val="auto"/>
              </w:rPr>
            </w:pPr>
            <w:r>
              <w:rPr>
                <w:rFonts w:ascii="Arial" w:cs="Arial" w:eastAsia="Arial" w:hAnsi="Arial"/>
                <w:sz w:val="16"/>
                <w:szCs w:val="16"/>
                <w:color w:val="auto"/>
              </w:rPr>
              <w:t>Revenue</w:t>
            </w:r>
          </w:p>
        </w:tc>
        <w:tc>
          <w:tcPr>
            <w:tcW w:w="1240" w:type="dxa"/>
            <w:vAlign w:val="bottom"/>
            <w:gridSpan w:val="2"/>
          </w:tcPr>
          <w:p>
            <w:pPr>
              <w:jc w:val="center"/>
              <w:ind w:right="100"/>
              <w:spacing w:after="0" w:line="156" w:lineRule="exact"/>
              <w:rPr>
                <w:sz w:val="20"/>
                <w:szCs w:val="20"/>
                <w:color w:val="auto"/>
              </w:rPr>
            </w:pPr>
            <w:r>
              <w:rPr>
                <w:rFonts w:ascii="Arial" w:cs="Arial" w:eastAsia="Arial" w:hAnsi="Arial"/>
                <w:sz w:val="16"/>
                <w:szCs w:val="16"/>
                <w:color w:val="auto"/>
                <w:w w:val="91"/>
              </w:rPr>
              <w:t>% of Total</w:t>
            </w:r>
          </w:p>
        </w:tc>
        <w:tc>
          <w:tcPr>
            <w:tcW w:w="160" w:type="dxa"/>
            <w:vAlign w:val="bottom"/>
          </w:tcPr>
          <w:p>
            <w:pPr>
              <w:spacing w:after="0"/>
              <w:rPr>
                <w:sz w:val="13"/>
                <w:szCs w:val="13"/>
                <w:color w:val="auto"/>
              </w:rPr>
            </w:pPr>
          </w:p>
        </w:tc>
        <w:tc>
          <w:tcPr>
            <w:tcW w:w="940" w:type="dxa"/>
            <w:vAlign w:val="bottom"/>
            <w:gridSpan w:val="2"/>
            <w:vMerge w:val="restart"/>
          </w:tcPr>
          <w:p>
            <w:pPr>
              <w:ind w:left="60"/>
              <w:spacing w:after="0"/>
              <w:rPr>
                <w:sz w:val="20"/>
                <w:szCs w:val="20"/>
                <w:color w:val="auto"/>
              </w:rPr>
            </w:pPr>
            <w:r>
              <w:rPr>
                <w:rFonts w:ascii="Arial" w:cs="Arial" w:eastAsia="Arial" w:hAnsi="Arial"/>
                <w:sz w:val="16"/>
                <w:szCs w:val="16"/>
                <w:color w:val="auto"/>
              </w:rPr>
              <w:t>Revenue</w:t>
            </w:r>
          </w:p>
        </w:tc>
        <w:tc>
          <w:tcPr>
            <w:tcW w:w="1240" w:type="dxa"/>
            <w:vAlign w:val="bottom"/>
            <w:gridSpan w:val="2"/>
          </w:tcPr>
          <w:p>
            <w:pPr>
              <w:jc w:val="center"/>
              <w:ind w:right="100"/>
              <w:spacing w:after="0" w:line="156" w:lineRule="exact"/>
              <w:rPr>
                <w:sz w:val="20"/>
                <w:szCs w:val="20"/>
                <w:color w:val="auto"/>
              </w:rPr>
            </w:pPr>
            <w:r>
              <w:rPr>
                <w:rFonts w:ascii="Arial" w:cs="Arial" w:eastAsia="Arial" w:hAnsi="Arial"/>
                <w:sz w:val="16"/>
                <w:szCs w:val="16"/>
                <w:color w:val="auto"/>
                <w:w w:val="91"/>
              </w:rPr>
              <w:t>% of Total</w:t>
            </w:r>
          </w:p>
        </w:tc>
        <w:tc>
          <w:tcPr>
            <w:tcW w:w="160" w:type="dxa"/>
            <w:vAlign w:val="bottom"/>
          </w:tcPr>
          <w:p>
            <w:pPr>
              <w:spacing w:after="0"/>
              <w:rPr>
                <w:sz w:val="13"/>
                <w:szCs w:val="13"/>
                <w:color w:val="auto"/>
              </w:rPr>
            </w:pPr>
          </w:p>
        </w:tc>
        <w:tc>
          <w:tcPr>
            <w:tcW w:w="940" w:type="dxa"/>
            <w:vAlign w:val="bottom"/>
            <w:gridSpan w:val="2"/>
            <w:vMerge w:val="restart"/>
          </w:tcPr>
          <w:p>
            <w:pPr>
              <w:ind w:left="60"/>
              <w:spacing w:after="0"/>
              <w:rPr>
                <w:sz w:val="20"/>
                <w:szCs w:val="20"/>
                <w:color w:val="auto"/>
              </w:rPr>
            </w:pPr>
            <w:r>
              <w:rPr>
                <w:rFonts w:ascii="Arial" w:cs="Arial" w:eastAsia="Arial" w:hAnsi="Arial"/>
                <w:sz w:val="16"/>
                <w:szCs w:val="16"/>
                <w:color w:val="auto"/>
              </w:rPr>
              <w:t>Revenue</w:t>
            </w:r>
          </w:p>
        </w:tc>
        <w:tc>
          <w:tcPr>
            <w:tcW w:w="1140" w:type="dxa"/>
            <w:vAlign w:val="bottom"/>
          </w:tcPr>
          <w:p>
            <w:pPr>
              <w:jc w:val="right"/>
              <w:ind w:right="162"/>
              <w:spacing w:after="0" w:line="156" w:lineRule="exact"/>
              <w:rPr>
                <w:sz w:val="20"/>
                <w:szCs w:val="20"/>
                <w:color w:val="auto"/>
              </w:rPr>
            </w:pPr>
            <w:r>
              <w:rPr>
                <w:rFonts w:ascii="Arial" w:cs="Arial" w:eastAsia="Arial" w:hAnsi="Arial"/>
                <w:sz w:val="16"/>
                <w:szCs w:val="16"/>
                <w:color w:val="auto"/>
              </w:rPr>
              <w:t>% of Total</w:t>
            </w:r>
          </w:p>
        </w:tc>
        <w:tc>
          <w:tcPr>
            <w:tcW w:w="0" w:type="dxa"/>
            <w:vAlign w:val="bottom"/>
          </w:tcPr>
          <w:p>
            <w:pPr>
              <w:spacing w:after="0"/>
              <w:rPr>
                <w:sz w:val="1"/>
                <w:szCs w:val="1"/>
                <w:color w:val="auto"/>
              </w:rPr>
            </w:pPr>
          </w:p>
        </w:tc>
      </w:tr>
      <w:tr>
        <w:trPr>
          <w:trHeight w:val="200"/>
        </w:trPr>
        <w:tc>
          <w:tcPr>
            <w:tcW w:w="20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40" w:type="dxa"/>
            <w:vAlign w:val="bottom"/>
            <w:gridSpan w:val="2"/>
            <w:vMerge w:val="continue"/>
          </w:tcPr>
          <w:p>
            <w:pPr>
              <w:spacing w:after="0"/>
              <w:rPr>
                <w:sz w:val="17"/>
                <w:szCs w:val="17"/>
                <w:color w:val="auto"/>
              </w:rPr>
            </w:pPr>
          </w:p>
        </w:tc>
        <w:tc>
          <w:tcPr>
            <w:tcW w:w="1240" w:type="dxa"/>
            <w:vAlign w:val="bottom"/>
            <w:gridSpan w:val="2"/>
          </w:tcPr>
          <w:p>
            <w:pPr>
              <w:jc w:val="center"/>
              <w:ind w:right="120"/>
              <w:spacing w:after="0"/>
              <w:rPr>
                <w:sz w:val="20"/>
                <w:szCs w:val="20"/>
                <w:color w:val="auto"/>
              </w:rPr>
            </w:pPr>
            <w:r>
              <w:rPr>
                <w:rFonts w:ascii="Arial" w:cs="Arial" w:eastAsia="Arial" w:hAnsi="Arial"/>
                <w:sz w:val="16"/>
                <w:szCs w:val="16"/>
                <w:color w:val="auto"/>
                <w:w w:val="87"/>
              </w:rPr>
              <w:t>Revenue</w:t>
            </w:r>
          </w:p>
        </w:tc>
        <w:tc>
          <w:tcPr>
            <w:tcW w:w="160" w:type="dxa"/>
            <w:vAlign w:val="bottom"/>
          </w:tcPr>
          <w:p>
            <w:pPr>
              <w:spacing w:after="0"/>
              <w:rPr>
                <w:sz w:val="17"/>
                <w:szCs w:val="17"/>
                <w:color w:val="auto"/>
              </w:rPr>
            </w:pPr>
          </w:p>
        </w:tc>
        <w:tc>
          <w:tcPr>
            <w:tcW w:w="940" w:type="dxa"/>
            <w:vAlign w:val="bottom"/>
            <w:gridSpan w:val="2"/>
            <w:vMerge w:val="continue"/>
          </w:tcPr>
          <w:p>
            <w:pPr>
              <w:spacing w:after="0"/>
              <w:rPr>
                <w:sz w:val="17"/>
                <w:szCs w:val="17"/>
                <w:color w:val="auto"/>
              </w:rPr>
            </w:pPr>
          </w:p>
        </w:tc>
        <w:tc>
          <w:tcPr>
            <w:tcW w:w="1240" w:type="dxa"/>
            <w:vAlign w:val="bottom"/>
            <w:gridSpan w:val="2"/>
          </w:tcPr>
          <w:p>
            <w:pPr>
              <w:jc w:val="center"/>
              <w:ind w:right="120"/>
              <w:spacing w:after="0"/>
              <w:rPr>
                <w:sz w:val="20"/>
                <w:szCs w:val="20"/>
                <w:color w:val="auto"/>
              </w:rPr>
            </w:pPr>
            <w:r>
              <w:rPr>
                <w:rFonts w:ascii="Arial" w:cs="Arial" w:eastAsia="Arial" w:hAnsi="Arial"/>
                <w:sz w:val="16"/>
                <w:szCs w:val="16"/>
                <w:color w:val="auto"/>
                <w:w w:val="87"/>
              </w:rPr>
              <w:t>Revenue</w:t>
            </w:r>
          </w:p>
        </w:tc>
        <w:tc>
          <w:tcPr>
            <w:tcW w:w="160" w:type="dxa"/>
            <w:vAlign w:val="bottom"/>
          </w:tcPr>
          <w:p>
            <w:pPr>
              <w:spacing w:after="0"/>
              <w:rPr>
                <w:sz w:val="17"/>
                <w:szCs w:val="17"/>
                <w:color w:val="auto"/>
              </w:rPr>
            </w:pPr>
          </w:p>
        </w:tc>
        <w:tc>
          <w:tcPr>
            <w:tcW w:w="940" w:type="dxa"/>
            <w:vAlign w:val="bottom"/>
            <w:gridSpan w:val="2"/>
            <w:vMerge w:val="continue"/>
          </w:tcPr>
          <w:p>
            <w:pPr>
              <w:spacing w:after="0"/>
              <w:rPr>
                <w:sz w:val="17"/>
                <w:szCs w:val="17"/>
                <w:color w:val="auto"/>
              </w:rPr>
            </w:pPr>
          </w:p>
        </w:tc>
        <w:tc>
          <w:tcPr>
            <w:tcW w:w="1240" w:type="dxa"/>
            <w:vAlign w:val="bottom"/>
            <w:gridSpan w:val="2"/>
          </w:tcPr>
          <w:p>
            <w:pPr>
              <w:jc w:val="center"/>
              <w:ind w:right="120"/>
              <w:spacing w:after="0"/>
              <w:rPr>
                <w:sz w:val="20"/>
                <w:szCs w:val="20"/>
                <w:color w:val="auto"/>
              </w:rPr>
            </w:pPr>
            <w:r>
              <w:rPr>
                <w:rFonts w:ascii="Arial" w:cs="Arial" w:eastAsia="Arial" w:hAnsi="Arial"/>
                <w:sz w:val="16"/>
                <w:szCs w:val="16"/>
                <w:color w:val="auto"/>
                <w:w w:val="87"/>
              </w:rPr>
              <w:t>Revenue</w:t>
            </w:r>
          </w:p>
        </w:tc>
        <w:tc>
          <w:tcPr>
            <w:tcW w:w="160" w:type="dxa"/>
            <w:vAlign w:val="bottom"/>
          </w:tcPr>
          <w:p>
            <w:pPr>
              <w:spacing w:after="0"/>
              <w:rPr>
                <w:sz w:val="17"/>
                <w:szCs w:val="17"/>
                <w:color w:val="auto"/>
              </w:rPr>
            </w:pPr>
          </w:p>
        </w:tc>
        <w:tc>
          <w:tcPr>
            <w:tcW w:w="940" w:type="dxa"/>
            <w:vAlign w:val="bottom"/>
            <w:gridSpan w:val="2"/>
            <w:vMerge w:val="continue"/>
          </w:tcPr>
          <w:p>
            <w:pPr>
              <w:spacing w:after="0"/>
              <w:rPr>
                <w:sz w:val="17"/>
                <w:szCs w:val="17"/>
                <w:color w:val="auto"/>
              </w:rPr>
            </w:pPr>
          </w:p>
        </w:tc>
        <w:tc>
          <w:tcPr>
            <w:tcW w:w="1140" w:type="dxa"/>
            <w:vAlign w:val="bottom"/>
          </w:tcPr>
          <w:p>
            <w:pPr>
              <w:jc w:val="right"/>
              <w:ind w:right="222"/>
              <w:spacing w:after="0"/>
              <w:rPr>
                <w:sz w:val="20"/>
                <w:szCs w:val="20"/>
                <w:color w:val="auto"/>
              </w:rPr>
            </w:pPr>
            <w:r>
              <w:rPr>
                <w:rFonts w:ascii="Arial" w:cs="Arial" w:eastAsia="Arial" w:hAnsi="Arial"/>
                <w:sz w:val="16"/>
                <w:szCs w:val="16"/>
                <w:color w:val="auto"/>
              </w:rPr>
              <w:t>Revenue</w:t>
            </w:r>
          </w:p>
        </w:tc>
        <w:tc>
          <w:tcPr>
            <w:tcW w:w="0" w:type="dxa"/>
            <w:vAlign w:val="bottom"/>
          </w:tcPr>
          <w:p>
            <w:pPr>
              <w:spacing w:after="0"/>
              <w:rPr>
                <w:sz w:val="1"/>
                <w:szCs w:val="1"/>
                <w:color w:val="auto"/>
              </w:rPr>
            </w:pPr>
          </w:p>
        </w:tc>
      </w:tr>
      <w:tr>
        <w:trPr>
          <w:trHeight w:val="205"/>
        </w:trPr>
        <w:tc>
          <w:tcPr>
            <w:tcW w:w="2000" w:type="dxa"/>
            <w:vAlign w:val="bottom"/>
          </w:tcPr>
          <w:p>
            <w:pPr>
              <w:ind w:left="20"/>
              <w:spacing w:after="0"/>
              <w:rPr>
                <w:sz w:val="20"/>
                <w:szCs w:val="20"/>
                <w:color w:val="auto"/>
              </w:rPr>
            </w:pPr>
            <w:r>
              <w:rPr>
                <w:rFonts w:ascii="Arial" w:cs="Arial" w:eastAsia="Arial" w:hAnsi="Arial"/>
                <w:sz w:val="16"/>
                <w:szCs w:val="16"/>
                <w:color w:val="auto"/>
                <w:w w:val="97"/>
              </w:rPr>
              <w:t>Subscriber equipment sales:</w:t>
            </w:r>
          </w:p>
        </w:tc>
        <w:tc>
          <w:tcPr>
            <w:tcW w:w="14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20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Duplex</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265</w:t>
            </w: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1 %</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510</w:t>
            </w: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2 %</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889</w:t>
            </w: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1 %</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1,539</w:t>
            </w: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2 %</w:t>
            </w:r>
          </w:p>
        </w:tc>
        <w:tc>
          <w:tcPr>
            <w:tcW w:w="0" w:type="dxa"/>
            <w:vAlign w:val="bottom"/>
          </w:tcPr>
          <w:p>
            <w:pPr>
              <w:spacing w:after="0"/>
              <w:rPr>
                <w:sz w:val="1"/>
                <w:szCs w:val="1"/>
                <w:color w:val="auto"/>
              </w:rPr>
            </w:pPr>
          </w:p>
        </w:tc>
      </w:tr>
      <w:tr>
        <w:trPr>
          <w:trHeight w:val="206"/>
        </w:trPr>
        <w:tc>
          <w:tcPr>
            <w:tcW w:w="2000" w:type="dxa"/>
            <w:vAlign w:val="bottom"/>
          </w:tcPr>
          <w:p>
            <w:pPr>
              <w:ind w:left="220"/>
              <w:spacing w:after="0"/>
              <w:rPr>
                <w:sz w:val="20"/>
                <w:szCs w:val="20"/>
                <w:color w:val="auto"/>
              </w:rPr>
            </w:pPr>
            <w:r>
              <w:rPr>
                <w:rFonts w:ascii="Arial" w:cs="Arial" w:eastAsia="Arial" w:hAnsi="Arial"/>
                <w:sz w:val="16"/>
                <w:szCs w:val="16"/>
                <w:color w:val="auto"/>
              </w:rPr>
              <w:t>SPOT</w:t>
            </w:r>
          </w:p>
        </w:tc>
        <w:tc>
          <w:tcPr>
            <w:tcW w:w="140" w:type="dxa"/>
            <w:vAlign w:val="bottom"/>
          </w:tcPr>
          <w:p>
            <w:pPr>
              <w:spacing w:after="0"/>
              <w:rPr>
                <w:sz w:val="17"/>
                <w:szCs w:val="17"/>
                <w:color w:val="auto"/>
              </w:rPr>
            </w:pPr>
          </w:p>
        </w:tc>
        <w:tc>
          <w:tcPr>
            <w:tcW w:w="840" w:type="dxa"/>
            <w:vAlign w:val="bottom"/>
          </w:tcPr>
          <w:p>
            <w:pPr>
              <w:jc w:val="right"/>
              <w:ind w:right="2"/>
              <w:spacing w:after="0"/>
              <w:rPr>
                <w:sz w:val="20"/>
                <w:szCs w:val="20"/>
                <w:color w:val="auto"/>
              </w:rPr>
            </w:pPr>
            <w:r>
              <w:rPr>
                <w:rFonts w:ascii="Arial" w:cs="Arial" w:eastAsia="Arial" w:hAnsi="Arial"/>
                <w:sz w:val="16"/>
                <w:szCs w:val="16"/>
                <w:color w:val="auto"/>
              </w:rPr>
              <w:t>2,619</w:t>
            </w:r>
          </w:p>
        </w:tc>
        <w:tc>
          <w:tcPr>
            <w:tcW w:w="100" w:type="dxa"/>
            <w:vAlign w:val="bottom"/>
          </w:tcPr>
          <w:p>
            <w:pPr>
              <w:spacing w:after="0"/>
              <w:rPr>
                <w:sz w:val="17"/>
                <w:szCs w:val="17"/>
                <w:color w:val="auto"/>
              </w:rPr>
            </w:pPr>
          </w:p>
        </w:tc>
        <w:tc>
          <w:tcPr>
            <w:tcW w:w="1140" w:type="dxa"/>
            <w:vAlign w:val="bottom"/>
          </w:tcPr>
          <w:p>
            <w:pPr>
              <w:jc w:val="right"/>
              <w:ind w:right="122"/>
              <w:spacing w:after="0"/>
              <w:rPr>
                <w:sz w:val="20"/>
                <w:szCs w:val="20"/>
                <w:color w:val="auto"/>
              </w:rPr>
            </w:pPr>
            <w:r>
              <w:rPr>
                <w:rFonts w:ascii="Arial" w:cs="Arial" w:eastAsia="Arial" w:hAnsi="Arial"/>
                <w:sz w:val="16"/>
                <w:szCs w:val="16"/>
                <w:color w:val="auto"/>
              </w:rPr>
              <w:t>8</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jc w:val="right"/>
              <w:ind w:right="2"/>
              <w:spacing w:after="0"/>
              <w:rPr>
                <w:sz w:val="20"/>
                <w:szCs w:val="20"/>
                <w:color w:val="auto"/>
              </w:rPr>
            </w:pPr>
            <w:r>
              <w:rPr>
                <w:rFonts w:ascii="Arial" w:cs="Arial" w:eastAsia="Arial" w:hAnsi="Arial"/>
                <w:sz w:val="16"/>
                <w:szCs w:val="16"/>
                <w:color w:val="auto"/>
              </w:rPr>
              <w:t>2,602</w:t>
            </w:r>
          </w:p>
        </w:tc>
        <w:tc>
          <w:tcPr>
            <w:tcW w:w="100" w:type="dxa"/>
            <w:vAlign w:val="bottom"/>
          </w:tcPr>
          <w:p>
            <w:pPr>
              <w:spacing w:after="0"/>
              <w:rPr>
                <w:sz w:val="17"/>
                <w:szCs w:val="17"/>
                <w:color w:val="auto"/>
              </w:rPr>
            </w:pPr>
          </w:p>
        </w:tc>
        <w:tc>
          <w:tcPr>
            <w:tcW w:w="1140" w:type="dxa"/>
            <w:vAlign w:val="bottom"/>
          </w:tcPr>
          <w:p>
            <w:pPr>
              <w:jc w:val="right"/>
              <w:ind w:right="122"/>
              <w:spacing w:after="0"/>
              <w:rPr>
                <w:sz w:val="20"/>
                <w:szCs w:val="20"/>
                <w:color w:val="auto"/>
              </w:rPr>
            </w:pPr>
            <w:r>
              <w:rPr>
                <w:rFonts w:ascii="Arial" w:cs="Arial" w:eastAsia="Arial" w:hAnsi="Arial"/>
                <w:sz w:val="16"/>
                <w:szCs w:val="16"/>
                <w:color w:val="auto"/>
              </w:rPr>
              <w:t>8</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6,764</w:t>
            </w:r>
          </w:p>
        </w:tc>
        <w:tc>
          <w:tcPr>
            <w:tcW w:w="120" w:type="dxa"/>
            <w:vAlign w:val="bottom"/>
          </w:tcPr>
          <w:p>
            <w:pPr>
              <w:spacing w:after="0"/>
              <w:rPr>
                <w:sz w:val="17"/>
                <w:szCs w:val="17"/>
                <w:color w:val="auto"/>
              </w:rPr>
            </w:pPr>
          </w:p>
        </w:tc>
        <w:tc>
          <w:tcPr>
            <w:tcW w:w="1140" w:type="dxa"/>
            <w:vAlign w:val="bottom"/>
          </w:tcPr>
          <w:p>
            <w:pPr>
              <w:jc w:val="right"/>
              <w:ind w:right="122"/>
              <w:spacing w:after="0"/>
              <w:rPr>
                <w:sz w:val="20"/>
                <w:szCs w:val="20"/>
                <w:color w:val="auto"/>
              </w:rPr>
            </w:pPr>
            <w:r>
              <w:rPr>
                <w:rFonts w:ascii="Arial" w:cs="Arial" w:eastAsia="Arial" w:hAnsi="Arial"/>
                <w:sz w:val="16"/>
                <w:szCs w:val="16"/>
                <w:color w:val="auto"/>
              </w:rPr>
              <w:t>8</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5,704</w:t>
            </w:r>
          </w:p>
        </w:tc>
        <w:tc>
          <w:tcPr>
            <w:tcW w:w="120" w:type="dxa"/>
            <w:vAlign w:val="bottom"/>
          </w:tcPr>
          <w:p>
            <w:pPr>
              <w:spacing w:after="0"/>
              <w:rPr>
                <w:sz w:val="17"/>
                <w:szCs w:val="17"/>
                <w:color w:val="auto"/>
              </w:rPr>
            </w:pPr>
          </w:p>
        </w:tc>
        <w:tc>
          <w:tcPr>
            <w:tcW w:w="1140" w:type="dxa"/>
            <w:vAlign w:val="bottom"/>
          </w:tcPr>
          <w:p>
            <w:pPr>
              <w:jc w:val="right"/>
              <w:ind w:right="122"/>
              <w:spacing w:after="0"/>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212"/>
        </w:trPr>
        <w:tc>
          <w:tcPr>
            <w:tcW w:w="20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Commercial IoT</w:t>
            </w:r>
          </w:p>
        </w:tc>
        <w:tc>
          <w:tcPr>
            <w:tcW w:w="14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1,841</w:t>
            </w: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6</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1,256</w:t>
            </w: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4</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5,452</w:t>
            </w: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6</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3,608</w:t>
            </w: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206"/>
        </w:trPr>
        <w:tc>
          <w:tcPr>
            <w:tcW w:w="2000" w:type="dxa"/>
            <w:vAlign w:val="bottom"/>
          </w:tcPr>
          <w:p>
            <w:pPr>
              <w:ind w:left="220"/>
              <w:spacing w:after="0"/>
              <w:rPr>
                <w:sz w:val="20"/>
                <w:szCs w:val="20"/>
                <w:color w:val="auto"/>
              </w:rPr>
            </w:pPr>
            <w:r>
              <w:rPr>
                <w:rFonts w:ascii="Arial" w:cs="Arial" w:eastAsia="Arial" w:hAnsi="Arial"/>
                <w:sz w:val="16"/>
                <w:szCs w:val="16"/>
                <w:color w:val="auto"/>
              </w:rPr>
              <w:t>Other</w:t>
            </w:r>
          </w:p>
        </w:tc>
        <w:tc>
          <w:tcPr>
            <w:tcW w:w="140" w:type="dxa"/>
            <w:vAlign w:val="bottom"/>
          </w:tcPr>
          <w:p>
            <w:pPr>
              <w:spacing w:after="0"/>
              <w:rPr>
                <w:sz w:val="17"/>
                <w:szCs w:val="17"/>
                <w:color w:val="auto"/>
              </w:rPr>
            </w:pPr>
          </w:p>
        </w:tc>
        <w:tc>
          <w:tcPr>
            <w:tcW w:w="840" w:type="dxa"/>
            <w:vAlign w:val="bottom"/>
          </w:tcPr>
          <w:p>
            <w:pPr>
              <w:jc w:val="right"/>
              <w:ind w:right="2"/>
              <w:spacing w:after="0"/>
              <w:rPr>
                <w:sz w:val="20"/>
                <w:szCs w:val="20"/>
                <w:color w:val="auto"/>
              </w:rPr>
            </w:pPr>
            <w:r>
              <w:rPr>
                <w:rFonts w:ascii="Arial" w:cs="Arial" w:eastAsia="Arial" w:hAnsi="Arial"/>
                <w:sz w:val="16"/>
                <w:szCs w:val="16"/>
                <w:color w:val="auto"/>
              </w:rPr>
              <w:t>41</w:t>
            </w:r>
          </w:p>
        </w:tc>
        <w:tc>
          <w:tcPr>
            <w:tcW w:w="100" w:type="dxa"/>
            <w:vAlign w:val="bottom"/>
          </w:tcPr>
          <w:p>
            <w:pPr>
              <w:spacing w:after="0"/>
              <w:rPr>
                <w:sz w:val="17"/>
                <w:szCs w:val="17"/>
                <w:color w:val="auto"/>
              </w:rPr>
            </w:pPr>
          </w:p>
        </w:tc>
        <w:tc>
          <w:tcPr>
            <w:tcW w:w="124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840" w:type="dxa"/>
            <w:vAlign w:val="bottom"/>
          </w:tcPr>
          <w:p>
            <w:pPr>
              <w:jc w:val="right"/>
              <w:ind w:right="2"/>
              <w:spacing w:after="0"/>
              <w:rPr>
                <w:sz w:val="20"/>
                <w:szCs w:val="20"/>
                <w:color w:val="auto"/>
              </w:rPr>
            </w:pPr>
            <w:r>
              <w:rPr>
                <w:rFonts w:ascii="Arial" w:cs="Arial" w:eastAsia="Arial" w:hAnsi="Arial"/>
                <w:sz w:val="16"/>
                <w:szCs w:val="16"/>
                <w:color w:val="auto"/>
              </w:rPr>
              <w:t>4</w:t>
            </w:r>
          </w:p>
        </w:tc>
        <w:tc>
          <w:tcPr>
            <w:tcW w:w="100" w:type="dxa"/>
            <w:vAlign w:val="bottom"/>
          </w:tcPr>
          <w:p>
            <w:pPr>
              <w:spacing w:after="0"/>
              <w:rPr>
                <w:sz w:val="17"/>
                <w:szCs w:val="17"/>
                <w:color w:val="auto"/>
              </w:rPr>
            </w:pPr>
          </w:p>
        </w:tc>
        <w:tc>
          <w:tcPr>
            <w:tcW w:w="124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166</w:t>
            </w:r>
          </w:p>
        </w:tc>
        <w:tc>
          <w:tcPr>
            <w:tcW w:w="120" w:type="dxa"/>
            <w:vAlign w:val="bottom"/>
          </w:tcPr>
          <w:p>
            <w:pPr>
              <w:spacing w:after="0"/>
              <w:rPr>
                <w:sz w:val="17"/>
                <w:szCs w:val="17"/>
                <w:color w:val="auto"/>
              </w:rPr>
            </w:pPr>
          </w:p>
        </w:tc>
        <w:tc>
          <w:tcPr>
            <w:tcW w:w="124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54</w:t>
            </w:r>
          </w:p>
        </w:tc>
        <w:tc>
          <w:tcPr>
            <w:tcW w:w="120" w:type="dxa"/>
            <w:vAlign w:val="bottom"/>
          </w:tcPr>
          <w:p>
            <w:pPr>
              <w:spacing w:after="0"/>
              <w:rPr>
                <w:sz w:val="17"/>
                <w:szCs w:val="17"/>
                <w:color w:val="auto"/>
              </w:rPr>
            </w:pPr>
          </w:p>
        </w:tc>
        <w:tc>
          <w:tcPr>
            <w:tcW w:w="1140" w:type="dxa"/>
            <w:vAlign w:val="bottom"/>
          </w:tcPr>
          <w:p>
            <w:pPr>
              <w:jc w:val="right"/>
              <w:ind w:right="1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0"/>
        </w:trPr>
        <w:tc>
          <w:tcPr>
            <w:tcW w:w="2000" w:type="dxa"/>
            <w:vAlign w:val="bottom"/>
            <w:tcBorders>
              <w:top w:val="single" w:sz="8" w:color="CCEEFF"/>
              <w:bottom w:val="single" w:sz="8" w:color="CCEEFF"/>
            </w:tcBorders>
            <w:shd w:val="clear" w:color="auto" w:fill="CCEEFF"/>
          </w:tcPr>
          <w:p>
            <w:pPr>
              <w:ind w:left="460"/>
              <w:spacing w:after="0"/>
              <w:rPr>
                <w:sz w:val="20"/>
                <w:szCs w:val="20"/>
                <w:color w:val="auto"/>
              </w:rPr>
            </w:pPr>
            <w:r>
              <w:rPr>
                <w:rFonts w:ascii="Arial" w:cs="Arial" w:eastAsia="Arial" w:hAnsi="Arial"/>
                <w:sz w:val="16"/>
                <w:szCs w:val="16"/>
                <w:color w:val="auto"/>
              </w:rPr>
              <w:t>Total</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4,766</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15 %</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top w:val="single" w:sz="8" w:color="auto"/>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4,372</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14 %</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13,271</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15 %</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10,905</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12 %</w:t>
            </w:r>
          </w:p>
        </w:tc>
        <w:tc>
          <w:tcPr>
            <w:tcW w:w="0" w:type="dxa"/>
            <w:vAlign w:val="bottom"/>
          </w:tcPr>
          <w:p>
            <w:pPr>
              <w:spacing w:after="0"/>
              <w:rPr>
                <w:sz w:val="1"/>
                <w:szCs w:val="1"/>
                <w:color w:val="auto"/>
              </w:rPr>
            </w:pPr>
          </w:p>
        </w:tc>
      </w:tr>
      <w:tr>
        <w:trPr>
          <w:trHeight w:val="20"/>
        </w:trPr>
        <w:tc>
          <w:tcPr>
            <w:tcW w:w="20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26" w:name="page27"/>
    <w:bookmarkEnd w:id="26"/>
    <w:p>
      <w:pPr>
        <w:ind w:left="240"/>
        <w:spacing w:after="0"/>
        <w:rPr>
          <w:sz w:val="20"/>
          <w:szCs w:val="20"/>
          <w:color w:val="auto"/>
        </w:rPr>
      </w:pPr>
      <w:r>
        <w:rPr>
          <w:rFonts w:ascii="Arial" w:cs="Arial" w:eastAsia="Arial" w:hAnsi="Arial"/>
          <w:sz w:val="17"/>
          <w:szCs w:val="17"/>
          <w:color w:val="auto"/>
        </w:rPr>
        <w:t>The following table sets forth our average number of subscribers and ARPU by type of revenue.</w:t>
      </w:r>
    </w:p>
    <w:p>
      <w:pPr>
        <w:spacing w:after="0" w:line="1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7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100" w:type="dxa"/>
            <w:vAlign w:val="bottom"/>
            <w:gridSpan w:val="5"/>
          </w:tcPr>
          <w:p>
            <w:pPr>
              <w:jc w:val="center"/>
              <w:ind w:right="320"/>
              <w:spacing w:after="0"/>
              <w:rPr>
                <w:sz w:val="20"/>
                <w:szCs w:val="20"/>
                <w:color w:val="auto"/>
              </w:rPr>
            </w:pPr>
            <w:r>
              <w:rPr>
                <w:rFonts w:ascii="Arial" w:cs="Arial" w:eastAsia="Arial" w:hAnsi="Arial"/>
                <w:sz w:val="17"/>
                <w:szCs w:val="17"/>
                <w:color w:val="auto"/>
                <w:w w:val="91"/>
              </w:rPr>
              <w:t>Three Months Ended</w:t>
            </w:r>
          </w:p>
        </w:tc>
        <w:tc>
          <w:tcPr>
            <w:tcW w:w="240" w:type="dxa"/>
            <w:vAlign w:val="bottom"/>
          </w:tcPr>
          <w:p>
            <w:pPr>
              <w:spacing w:after="0"/>
              <w:rPr>
                <w:sz w:val="16"/>
                <w:szCs w:val="16"/>
                <w:color w:val="auto"/>
              </w:rPr>
            </w:pPr>
          </w:p>
        </w:tc>
        <w:tc>
          <w:tcPr>
            <w:tcW w:w="1980" w:type="dxa"/>
            <w:vAlign w:val="bottom"/>
            <w:gridSpan w:val="4"/>
          </w:tcPr>
          <w:p>
            <w:pPr>
              <w:jc w:val="right"/>
              <w:ind w:right="313"/>
              <w:spacing w:after="0"/>
              <w:rPr>
                <w:sz w:val="20"/>
                <w:szCs w:val="20"/>
                <w:color w:val="auto"/>
              </w:rPr>
            </w:pPr>
            <w:r>
              <w:rPr>
                <w:rFonts w:ascii="Arial" w:cs="Arial" w:eastAsia="Arial" w:hAnsi="Arial"/>
                <w:sz w:val="17"/>
                <w:szCs w:val="17"/>
                <w:color w:val="auto"/>
              </w:rPr>
              <w:t>Nine Months Ended</w:t>
            </w:r>
          </w:p>
        </w:tc>
      </w:tr>
      <w:tr>
        <w:trPr>
          <w:trHeight w:val="221"/>
        </w:trPr>
        <w:tc>
          <w:tcPr>
            <w:tcW w:w="67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100" w:type="dxa"/>
            <w:vAlign w:val="bottom"/>
            <w:gridSpan w:val="5"/>
          </w:tcPr>
          <w:p>
            <w:pPr>
              <w:jc w:val="center"/>
              <w:ind w:right="340"/>
              <w:spacing w:after="0"/>
              <w:rPr>
                <w:sz w:val="20"/>
                <w:szCs w:val="20"/>
                <w:color w:val="auto"/>
              </w:rPr>
            </w:pPr>
            <w:r>
              <w:rPr>
                <w:rFonts w:ascii="Arial" w:cs="Arial" w:eastAsia="Arial" w:hAnsi="Arial"/>
                <w:sz w:val="17"/>
                <w:szCs w:val="17"/>
                <w:color w:val="auto"/>
                <w:w w:val="89"/>
              </w:rPr>
              <w:t>September 30,</w:t>
            </w:r>
          </w:p>
        </w:tc>
        <w:tc>
          <w:tcPr>
            <w:tcW w:w="240" w:type="dxa"/>
            <w:vAlign w:val="bottom"/>
          </w:tcPr>
          <w:p>
            <w:pPr>
              <w:spacing w:after="0"/>
              <w:rPr>
                <w:sz w:val="19"/>
                <w:szCs w:val="19"/>
                <w:color w:val="auto"/>
              </w:rPr>
            </w:pPr>
          </w:p>
        </w:tc>
        <w:tc>
          <w:tcPr>
            <w:tcW w:w="1980" w:type="dxa"/>
            <w:vAlign w:val="bottom"/>
            <w:gridSpan w:val="4"/>
          </w:tcPr>
          <w:p>
            <w:pPr>
              <w:jc w:val="right"/>
              <w:ind w:right="513"/>
              <w:spacing w:after="0"/>
              <w:rPr>
                <w:sz w:val="20"/>
                <w:szCs w:val="20"/>
                <w:color w:val="auto"/>
              </w:rPr>
            </w:pPr>
            <w:r>
              <w:rPr>
                <w:rFonts w:ascii="Arial" w:cs="Arial" w:eastAsia="Arial" w:hAnsi="Arial"/>
                <w:sz w:val="17"/>
                <w:szCs w:val="17"/>
                <w:color w:val="auto"/>
              </w:rPr>
              <w:t>September 30,</w:t>
            </w:r>
          </w:p>
        </w:tc>
      </w:tr>
      <w:tr>
        <w:trPr>
          <w:trHeight w:val="215"/>
        </w:trPr>
        <w:tc>
          <w:tcPr>
            <w:tcW w:w="670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840" w:type="dxa"/>
            <w:vAlign w:val="bottom"/>
            <w:tcBorders>
              <w:top w:val="single" w:sz="8" w:color="auto"/>
              <w:bottom w:val="single" w:sz="8" w:color="auto"/>
            </w:tcBorders>
          </w:tcPr>
          <w:p>
            <w:pPr>
              <w:jc w:val="right"/>
              <w:ind w:right="273"/>
              <w:spacing w:after="0"/>
              <w:rPr>
                <w:sz w:val="20"/>
                <w:szCs w:val="20"/>
                <w:color w:val="auto"/>
              </w:rPr>
            </w:pPr>
            <w:r>
              <w:rPr>
                <w:rFonts w:ascii="Arial" w:cs="Arial" w:eastAsia="Arial" w:hAnsi="Arial"/>
                <w:sz w:val="17"/>
                <w:szCs w:val="17"/>
                <w:color w:val="auto"/>
              </w:rPr>
              <w:t>2021</w:t>
            </w:r>
          </w:p>
        </w:tc>
        <w:tc>
          <w:tcPr>
            <w:tcW w:w="100" w:type="dxa"/>
            <w:vAlign w:val="bottom"/>
            <w:tcBorders>
              <w:top w:val="single" w:sz="8" w:color="auto"/>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840" w:type="dxa"/>
            <w:vAlign w:val="bottom"/>
            <w:tcBorders>
              <w:top w:val="single" w:sz="8" w:color="auto"/>
              <w:bottom w:val="single" w:sz="8" w:color="auto"/>
            </w:tcBorders>
          </w:tcPr>
          <w:p>
            <w:pPr>
              <w:jc w:val="right"/>
              <w:ind w:right="273"/>
              <w:spacing w:after="0"/>
              <w:rPr>
                <w:sz w:val="20"/>
                <w:szCs w:val="20"/>
                <w:color w:val="auto"/>
              </w:rPr>
            </w:pPr>
            <w:r>
              <w:rPr>
                <w:rFonts w:ascii="Arial" w:cs="Arial" w:eastAsia="Arial" w:hAnsi="Arial"/>
                <w:sz w:val="17"/>
                <w:szCs w:val="17"/>
                <w:color w:val="auto"/>
              </w:rPr>
              <w:t>2020</w:t>
            </w:r>
          </w:p>
        </w:tc>
        <w:tc>
          <w:tcPr>
            <w:tcW w:w="100" w:type="dxa"/>
            <w:vAlign w:val="bottom"/>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ind w:right="273"/>
              <w:spacing w:after="0"/>
              <w:rPr>
                <w:sz w:val="20"/>
                <w:szCs w:val="20"/>
                <w:color w:val="auto"/>
              </w:rPr>
            </w:pPr>
            <w:r>
              <w:rPr>
                <w:rFonts w:ascii="Arial" w:cs="Arial" w:eastAsia="Arial" w:hAnsi="Arial"/>
                <w:sz w:val="17"/>
                <w:szCs w:val="17"/>
                <w:color w:val="auto"/>
              </w:rPr>
              <w:t>2021</w:t>
            </w:r>
          </w:p>
        </w:tc>
        <w:tc>
          <w:tcPr>
            <w:tcW w:w="100" w:type="dxa"/>
            <w:vAlign w:val="bottom"/>
            <w:tcBorders>
              <w:top w:val="single" w:sz="8" w:color="auto"/>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ind w:right="273"/>
              <w:spacing w:after="0"/>
              <w:rPr>
                <w:sz w:val="20"/>
                <w:szCs w:val="20"/>
                <w:color w:val="auto"/>
              </w:rPr>
            </w:pPr>
            <w:r>
              <w:rPr>
                <w:rFonts w:ascii="Arial" w:cs="Arial" w:eastAsia="Arial" w:hAnsi="Arial"/>
                <w:sz w:val="17"/>
                <w:szCs w:val="17"/>
                <w:color w:val="auto"/>
              </w:rPr>
              <w:t>2020</w:t>
            </w:r>
          </w:p>
        </w:tc>
      </w:tr>
      <w:tr>
        <w:trPr>
          <w:trHeight w:val="215"/>
        </w:trPr>
        <w:tc>
          <w:tcPr>
            <w:tcW w:w="6700" w:type="dxa"/>
            <w:vAlign w:val="bottom"/>
          </w:tcPr>
          <w:p>
            <w:pPr>
              <w:ind w:left="20"/>
              <w:spacing w:after="0"/>
              <w:rPr>
                <w:sz w:val="20"/>
                <w:szCs w:val="20"/>
                <w:color w:val="auto"/>
              </w:rPr>
            </w:pPr>
            <w:r>
              <w:rPr>
                <w:rFonts w:ascii="Arial" w:cs="Arial" w:eastAsia="Arial" w:hAnsi="Arial"/>
                <w:sz w:val="17"/>
                <w:szCs w:val="17"/>
                <w:color w:val="auto"/>
              </w:rPr>
              <w:t>Average number of subscribers for the period:</w:t>
            </w: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r>
      <w:tr>
        <w:trPr>
          <w:trHeight w:val="222"/>
        </w:trPr>
        <w:tc>
          <w:tcPr>
            <w:tcW w:w="67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Duplex</w:t>
            </w:r>
          </w:p>
        </w:tc>
        <w:tc>
          <w:tcPr>
            <w:tcW w:w="22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45,004</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49,533</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46,531</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51,096</w:t>
            </w:r>
          </w:p>
        </w:tc>
      </w:tr>
      <w:tr>
        <w:trPr>
          <w:trHeight w:val="222"/>
        </w:trPr>
        <w:tc>
          <w:tcPr>
            <w:tcW w:w="6700" w:type="dxa"/>
            <w:vAlign w:val="bottom"/>
          </w:tcPr>
          <w:p>
            <w:pPr>
              <w:ind w:left="220"/>
              <w:spacing w:after="0"/>
              <w:rPr>
                <w:sz w:val="20"/>
                <w:szCs w:val="20"/>
                <w:color w:val="auto"/>
              </w:rPr>
            </w:pPr>
            <w:r>
              <w:rPr>
                <w:rFonts w:ascii="Arial" w:cs="Arial" w:eastAsia="Arial" w:hAnsi="Arial"/>
                <w:sz w:val="17"/>
                <w:szCs w:val="17"/>
                <w:color w:val="auto"/>
              </w:rPr>
              <w:t>SPOT</w:t>
            </w:r>
          </w:p>
        </w:tc>
        <w:tc>
          <w:tcPr>
            <w:tcW w:w="2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7"/>
                <w:szCs w:val="17"/>
                <w:color w:val="auto"/>
              </w:rPr>
              <w:t>271,843</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7"/>
                <w:szCs w:val="17"/>
                <w:color w:val="auto"/>
              </w:rPr>
              <w:t>260,153</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268,506</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267,035</w:t>
            </w:r>
          </w:p>
        </w:tc>
      </w:tr>
      <w:tr>
        <w:trPr>
          <w:trHeight w:val="222"/>
        </w:trPr>
        <w:tc>
          <w:tcPr>
            <w:tcW w:w="67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Commercial IoT</w:t>
            </w:r>
          </w:p>
        </w:tc>
        <w:tc>
          <w:tcPr>
            <w:tcW w:w="22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410,630</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414,049</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410,374</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417,469</w:t>
            </w:r>
          </w:p>
        </w:tc>
      </w:tr>
      <w:tr>
        <w:trPr>
          <w:trHeight w:val="222"/>
        </w:trPr>
        <w:tc>
          <w:tcPr>
            <w:tcW w:w="670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IGO and Other</w:t>
            </w:r>
          </w:p>
        </w:tc>
        <w:tc>
          <w:tcPr>
            <w:tcW w:w="22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26,848</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27,361</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26,732</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27,158</w:t>
            </w:r>
          </w:p>
        </w:tc>
      </w:tr>
      <w:tr>
        <w:trPr>
          <w:trHeight w:val="240"/>
        </w:trPr>
        <w:tc>
          <w:tcPr>
            <w:tcW w:w="670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7"/>
                <w:szCs w:val="17"/>
                <w:color w:val="auto"/>
              </w:rPr>
              <w:t>Total</w:t>
            </w:r>
          </w:p>
        </w:tc>
        <w:tc>
          <w:tcPr>
            <w:tcW w:w="220" w:type="dxa"/>
            <w:vAlign w:val="bottom"/>
            <w:tcBorders>
              <w:bottom w:val="single" w:sz="8" w:color="auto"/>
            </w:tcBorders>
            <w:shd w:val="clear" w:color="auto" w:fill="CCEEFF"/>
          </w:tcPr>
          <w:p>
            <w:pPr>
              <w:spacing w:after="0"/>
              <w:rPr>
                <w:sz w:val="20"/>
                <w:szCs w:val="20"/>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754,325</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spacing w:after="0"/>
              <w:rPr>
                <w:sz w:val="20"/>
                <w:szCs w:val="20"/>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751,096</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spacing w:after="0"/>
              <w:rPr>
                <w:sz w:val="20"/>
                <w:szCs w:val="20"/>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752,143</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spacing w:after="0"/>
              <w:rPr>
                <w:sz w:val="20"/>
                <w:szCs w:val="20"/>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762,758</w:t>
            </w:r>
          </w:p>
        </w:tc>
      </w:tr>
      <w:tr>
        <w:trPr>
          <w:trHeight w:val="20"/>
        </w:trPr>
        <w:tc>
          <w:tcPr>
            <w:tcW w:w="67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r>
      <w:tr>
        <w:trPr>
          <w:trHeight w:val="208"/>
        </w:trPr>
        <w:tc>
          <w:tcPr>
            <w:tcW w:w="6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r>
      <w:tr>
        <w:trPr>
          <w:trHeight w:val="222"/>
        </w:trPr>
        <w:tc>
          <w:tcPr>
            <w:tcW w:w="6700" w:type="dxa"/>
            <w:vAlign w:val="bottom"/>
            <w:shd w:val="clear" w:color="auto" w:fill="CCEEFF"/>
          </w:tcPr>
          <w:p>
            <w:pPr>
              <w:ind w:left="20"/>
              <w:spacing w:after="0"/>
              <w:rPr>
                <w:sz w:val="20"/>
                <w:szCs w:val="20"/>
                <w:color w:val="auto"/>
              </w:rPr>
            </w:pPr>
            <w:r>
              <w:rPr>
                <w:rFonts w:ascii="Arial" w:cs="Arial" w:eastAsia="Arial" w:hAnsi="Arial"/>
                <w:sz w:val="17"/>
                <w:szCs w:val="17"/>
                <w:color w:val="auto"/>
              </w:rPr>
              <w:t>ARPU (monthly):</w:t>
            </w:r>
          </w:p>
        </w:tc>
        <w:tc>
          <w:tcPr>
            <w:tcW w:w="22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r>
      <w:tr>
        <w:trPr>
          <w:trHeight w:val="222"/>
        </w:trPr>
        <w:tc>
          <w:tcPr>
            <w:tcW w:w="6700" w:type="dxa"/>
            <w:vAlign w:val="bottom"/>
          </w:tcPr>
          <w:p>
            <w:pPr>
              <w:ind w:left="220"/>
              <w:spacing w:after="0"/>
              <w:rPr>
                <w:sz w:val="20"/>
                <w:szCs w:val="20"/>
                <w:color w:val="auto"/>
              </w:rPr>
            </w:pPr>
            <w:r>
              <w:rPr>
                <w:rFonts w:ascii="Arial" w:cs="Arial" w:eastAsia="Arial" w:hAnsi="Arial"/>
                <w:sz w:val="17"/>
                <w:szCs w:val="17"/>
                <w:color w:val="auto"/>
              </w:rPr>
              <w:t>Duplex</w:t>
            </w:r>
          </w:p>
        </w:tc>
        <w:tc>
          <w:tcPr>
            <w:tcW w:w="220" w:type="dxa"/>
            <w:vAlign w:val="bottom"/>
          </w:tcPr>
          <w:p>
            <w:pPr>
              <w:jc w:val="right"/>
              <w:ind w:right="33"/>
              <w:spacing w:after="0"/>
              <w:rPr>
                <w:sz w:val="20"/>
                <w:szCs w:val="20"/>
                <w:color w:val="auto"/>
              </w:rPr>
            </w:pPr>
            <w:r>
              <w:rPr>
                <w:rFonts w:ascii="Arial" w:cs="Arial" w:eastAsia="Arial" w:hAnsi="Arial"/>
                <w:sz w:val="17"/>
                <w:szCs w:val="17"/>
                <w:color w:val="auto"/>
                <w:w w:val="84"/>
              </w:rPr>
              <w:t>$</w:t>
            </w:r>
          </w:p>
        </w:tc>
        <w:tc>
          <w:tcPr>
            <w:tcW w:w="840" w:type="dxa"/>
            <w:vAlign w:val="bottom"/>
          </w:tcPr>
          <w:p>
            <w:pPr>
              <w:jc w:val="right"/>
              <w:spacing w:after="0"/>
              <w:rPr>
                <w:sz w:val="20"/>
                <w:szCs w:val="20"/>
                <w:color w:val="auto"/>
              </w:rPr>
            </w:pPr>
            <w:r>
              <w:rPr>
                <w:rFonts w:ascii="Arial" w:cs="Arial" w:eastAsia="Arial" w:hAnsi="Arial"/>
                <w:sz w:val="17"/>
                <w:szCs w:val="17"/>
                <w:color w:val="auto"/>
              </w:rPr>
              <w:t>71.34</w:t>
            </w:r>
          </w:p>
        </w:tc>
        <w:tc>
          <w:tcPr>
            <w:tcW w:w="100" w:type="dxa"/>
            <w:vAlign w:val="bottom"/>
          </w:tcPr>
          <w:p>
            <w:pPr>
              <w:spacing w:after="0"/>
              <w:rPr>
                <w:sz w:val="19"/>
                <w:szCs w:val="19"/>
                <w:color w:val="auto"/>
              </w:rPr>
            </w:pPr>
          </w:p>
        </w:tc>
        <w:tc>
          <w:tcPr>
            <w:tcW w:w="220" w:type="dxa"/>
            <w:vAlign w:val="bottom"/>
          </w:tcPr>
          <w:p>
            <w:pPr>
              <w:jc w:val="right"/>
              <w:ind w:right="33"/>
              <w:spacing w:after="0"/>
              <w:rPr>
                <w:sz w:val="20"/>
                <w:szCs w:val="20"/>
                <w:color w:val="auto"/>
              </w:rPr>
            </w:pPr>
            <w:r>
              <w:rPr>
                <w:rFonts w:ascii="Arial" w:cs="Arial" w:eastAsia="Arial" w:hAnsi="Arial"/>
                <w:sz w:val="17"/>
                <w:szCs w:val="17"/>
                <w:color w:val="auto"/>
                <w:w w:val="84"/>
              </w:rPr>
              <w:t>$</w:t>
            </w:r>
          </w:p>
        </w:tc>
        <w:tc>
          <w:tcPr>
            <w:tcW w:w="840" w:type="dxa"/>
            <w:vAlign w:val="bottom"/>
          </w:tcPr>
          <w:p>
            <w:pPr>
              <w:jc w:val="right"/>
              <w:spacing w:after="0"/>
              <w:rPr>
                <w:sz w:val="20"/>
                <w:szCs w:val="20"/>
                <w:color w:val="auto"/>
              </w:rPr>
            </w:pPr>
            <w:r>
              <w:rPr>
                <w:rFonts w:ascii="Arial" w:cs="Arial" w:eastAsia="Arial" w:hAnsi="Arial"/>
                <w:sz w:val="17"/>
                <w:szCs w:val="17"/>
                <w:color w:val="auto"/>
              </w:rPr>
              <w:t>67.00</w:t>
            </w:r>
          </w:p>
        </w:tc>
        <w:tc>
          <w:tcPr>
            <w:tcW w:w="100" w:type="dxa"/>
            <w:vAlign w:val="bottom"/>
          </w:tcPr>
          <w:p>
            <w:pPr>
              <w:spacing w:after="0"/>
              <w:rPr>
                <w:sz w:val="19"/>
                <w:szCs w:val="19"/>
                <w:color w:val="auto"/>
              </w:rPr>
            </w:pPr>
          </w:p>
        </w:tc>
        <w:tc>
          <w:tcPr>
            <w:tcW w:w="240" w:type="dxa"/>
            <w:vAlign w:val="bottom"/>
          </w:tcPr>
          <w:p>
            <w:pPr>
              <w:jc w:val="right"/>
              <w:ind w:right="53"/>
              <w:spacing w:after="0"/>
              <w:rPr>
                <w:sz w:val="20"/>
                <w:szCs w:val="20"/>
                <w:color w:val="auto"/>
              </w:rPr>
            </w:pPr>
            <w:r>
              <w:rPr>
                <w:rFonts w:ascii="Arial" w:cs="Arial" w:eastAsia="Arial" w:hAnsi="Arial"/>
                <w:sz w:val="17"/>
                <w:szCs w:val="17"/>
                <w:color w:val="auto"/>
                <w:w w:val="84"/>
              </w:rPr>
              <w:t>$</w:t>
            </w:r>
          </w:p>
        </w:tc>
        <w:tc>
          <w:tcPr>
            <w:tcW w:w="820" w:type="dxa"/>
            <w:vAlign w:val="bottom"/>
          </w:tcPr>
          <w:p>
            <w:pPr>
              <w:jc w:val="right"/>
              <w:spacing w:after="0"/>
              <w:rPr>
                <w:sz w:val="20"/>
                <w:szCs w:val="20"/>
                <w:color w:val="auto"/>
              </w:rPr>
            </w:pPr>
            <w:r>
              <w:rPr>
                <w:rFonts w:ascii="Arial" w:cs="Arial" w:eastAsia="Arial" w:hAnsi="Arial"/>
                <w:sz w:val="17"/>
                <w:szCs w:val="17"/>
                <w:color w:val="auto"/>
              </w:rPr>
              <w:t>56.19</w:t>
            </w:r>
          </w:p>
        </w:tc>
        <w:tc>
          <w:tcPr>
            <w:tcW w:w="100" w:type="dxa"/>
            <w:vAlign w:val="bottom"/>
          </w:tcPr>
          <w:p>
            <w:pPr>
              <w:spacing w:after="0"/>
              <w:rPr>
                <w:sz w:val="19"/>
                <w:szCs w:val="19"/>
                <w:color w:val="auto"/>
              </w:rPr>
            </w:pPr>
          </w:p>
        </w:tc>
        <w:tc>
          <w:tcPr>
            <w:tcW w:w="240" w:type="dxa"/>
            <w:vAlign w:val="bottom"/>
          </w:tcPr>
          <w:p>
            <w:pPr>
              <w:jc w:val="right"/>
              <w:ind w:right="53"/>
              <w:spacing w:after="0"/>
              <w:rPr>
                <w:sz w:val="20"/>
                <w:szCs w:val="20"/>
                <w:color w:val="auto"/>
              </w:rPr>
            </w:pPr>
            <w:r>
              <w:rPr>
                <w:rFonts w:ascii="Arial" w:cs="Arial" w:eastAsia="Arial" w:hAnsi="Arial"/>
                <w:sz w:val="17"/>
                <w:szCs w:val="17"/>
                <w:color w:val="auto"/>
                <w:w w:val="84"/>
              </w:rPr>
              <w:t>$</w:t>
            </w:r>
          </w:p>
        </w:tc>
        <w:tc>
          <w:tcPr>
            <w:tcW w:w="820" w:type="dxa"/>
            <w:vAlign w:val="bottom"/>
          </w:tcPr>
          <w:p>
            <w:pPr>
              <w:jc w:val="right"/>
              <w:spacing w:after="0"/>
              <w:rPr>
                <w:sz w:val="20"/>
                <w:szCs w:val="20"/>
                <w:color w:val="auto"/>
              </w:rPr>
            </w:pPr>
            <w:r>
              <w:rPr>
                <w:rFonts w:ascii="Arial" w:cs="Arial" w:eastAsia="Arial" w:hAnsi="Arial"/>
                <w:sz w:val="17"/>
                <w:szCs w:val="17"/>
                <w:color w:val="auto"/>
              </w:rPr>
              <w:t>56.92</w:t>
            </w:r>
          </w:p>
        </w:tc>
      </w:tr>
      <w:tr>
        <w:trPr>
          <w:trHeight w:val="222"/>
        </w:trPr>
        <w:tc>
          <w:tcPr>
            <w:tcW w:w="67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SPOT</w:t>
            </w:r>
          </w:p>
        </w:tc>
        <w:tc>
          <w:tcPr>
            <w:tcW w:w="22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14.56</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14.60</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14.07</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14.60</w:t>
            </w:r>
          </w:p>
        </w:tc>
      </w:tr>
      <w:tr>
        <w:trPr>
          <w:trHeight w:val="222"/>
        </w:trPr>
        <w:tc>
          <w:tcPr>
            <w:tcW w:w="6700" w:type="dxa"/>
            <w:vAlign w:val="bottom"/>
          </w:tcPr>
          <w:p>
            <w:pPr>
              <w:ind w:left="220"/>
              <w:spacing w:after="0"/>
              <w:rPr>
                <w:sz w:val="20"/>
                <w:szCs w:val="20"/>
                <w:color w:val="auto"/>
              </w:rPr>
            </w:pPr>
            <w:r>
              <w:rPr>
                <w:rFonts w:ascii="Arial" w:cs="Arial" w:eastAsia="Arial" w:hAnsi="Arial"/>
                <w:sz w:val="17"/>
                <w:szCs w:val="17"/>
                <w:color w:val="auto"/>
              </w:rPr>
              <w:t>Commercial IoT</w:t>
            </w:r>
          </w:p>
        </w:tc>
        <w:tc>
          <w:tcPr>
            <w:tcW w:w="2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7"/>
                <w:szCs w:val="17"/>
                <w:color w:val="auto"/>
              </w:rPr>
              <w:t>3.62</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7"/>
                <w:szCs w:val="17"/>
                <w:color w:val="auto"/>
              </w:rPr>
              <w:t>3.56</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3.64</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3.47</w:t>
            </w:r>
          </w:p>
        </w:tc>
      </w:tr>
    </w:tbl>
    <w:p>
      <w:pPr>
        <w:spacing w:after="0" w:line="315" w:lineRule="exact"/>
        <w:rPr>
          <w:sz w:val="20"/>
          <w:szCs w:val="20"/>
          <w:color w:val="auto"/>
        </w:rPr>
      </w:pPr>
    </w:p>
    <w:p>
      <w:pPr>
        <w:ind w:left="240"/>
        <w:spacing w:after="0"/>
        <w:rPr>
          <w:sz w:val="20"/>
          <w:szCs w:val="20"/>
          <w:color w:val="auto"/>
        </w:rPr>
      </w:pPr>
      <w:r>
        <w:rPr>
          <w:rFonts w:ascii="Arial" w:cs="Arial" w:eastAsia="Arial" w:hAnsi="Arial"/>
          <w:sz w:val="17"/>
          <w:szCs w:val="17"/>
          <w:color w:val="auto"/>
        </w:rPr>
        <w:t>The numbers reported in the above table are subject to immaterial rounding inherent in calculating averages.</w:t>
      </w:r>
    </w:p>
    <w:p>
      <w:pPr>
        <w:spacing w:after="0" w:line="249"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We count "subscribers" based on the number of devices that are subject to agreements that entitle them to use our voice or data communications services rather than the number of persons or entities who own or lease those devices.</w:t>
      </w:r>
    </w:p>
    <w:p>
      <w:pPr>
        <w:spacing w:after="0" w:line="184"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Engineering and other service revenue includes revenue generated primarily from certain governmental and engineering service contracts which are not subscriber driven. Accordingly, we do not present ARPU for engineering and other service revenue in the table above.</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Service Revenue</w:t>
      </w:r>
    </w:p>
    <w:p>
      <w:pPr>
        <w:spacing w:after="0" w:line="249" w:lineRule="exact"/>
        <w:rPr>
          <w:sz w:val="20"/>
          <w:szCs w:val="20"/>
          <w:color w:val="auto"/>
        </w:rPr>
      </w:pPr>
    </w:p>
    <w:p>
      <w:pPr>
        <w:jc w:val="both"/>
        <w:ind w:firstLine="235"/>
        <w:spacing w:after="0" w:line="261" w:lineRule="auto"/>
        <w:rPr>
          <w:sz w:val="20"/>
          <w:szCs w:val="20"/>
          <w:color w:val="auto"/>
        </w:rPr>
      </w:pPr>
      <w:r>
        <w:rPr>
          <w:rFonts w:ascii="Arial" w:cs="Arial" w:eastAsia="Arial" w:hAnsi="Arial"/>
          <w:sz w:val="17"/>
          <w:szCs w:val="17"/>
          <w:color w:val="auto"/>
        </w:rPr>
        <w:t>Duplex service revenue decreased 3% and 10%, respectively, for the three and nine months ended September 30, 2021 due to a decrease in average subscribers of 9% for both periods. The decrease in average subscribers was driven by churn in the subscriber base exceeding gross activations over the last twelve months, including the deactivation of all Sat-Fi2® subscribers in the first quarter of 2021. As previously disclosed, we continue to see a shift in demand across the MSS industry from full Duplex voice and data services to IoT-enabled devices; accordingly, we expect the decline in our Duplex subscriber base to continue as we focus our investments on IoT-enabled devices and services. Additionally, the increase in ARPU during the third quarter of 2021 was due primarily to a one-time reclassification of foreign sales tax related to our Brazilian subsidiary, which increased Duplex service revenue and decreased Commercial IoT service revenue by $0.4 million each.</w:t>
      </w:r>
    </w:p>
    <w:p>
      <w:pPr>
        <w:spacing w:after="0" w:line="211" w:lineRule="exact"/>
        <w:rPr>
          <w:sz w:val="20"/>
          <w:szCs w:val="20"/>
          <w:color w:val="auto"/>
        </w:rPr>
      </w:pPr>
    </w:p>
    <w:p>
      <w:pPr>
        <w:jc w:val="both"/>
        <w:ind w:firstLine="235"/>
        <w:spacing w:after="0" w:line="261" w:lineRule="auto"/>
        <w:rPr>
          <w:sz w:val="20"/>
          <w:szCs w:val="20"/>
          <w:color w:val="auto"/>
        </w:rPr>
      </w:pPr>
      <w:r>
        <w:rPr>
          <w:rFonts w:ascii="Arial" w:cs="Arial" w:eastAsia="Arial" w:hAnsi="Arial"/>
          <w:sz w:val="17"/>
          <w:szCs w:val="17"/>
          <w:color w:val="auto"/>
        </w:rPr>
        <w:t>SPOT service revenue increased 4% and decreased 3%, respectively, for the three and nine months ended September 30, 2021. For the three-month period, the increase in SPOT service revenue was due to higher average subscribers of 4%, resulting from higher gross subscriber activations of 17% over the last twelve months. For the nine-month period ended September 30, 2021, the decrease in SPOT service revenue was due primarily to lower ARPU of 4% offset partially by a 1% increase in average subscribers. ARPU decreased during the year-to-date period due to the introduction of lower-priced service plans in mid-2019. The portion of our subscriber base on these lower-priced plans has increased over the past two years. Consistent with the three-month period, average subscribers for the nine-month period increased slightly, reflecting higher gross activations as well as a recent stabilization of churn in our SPOT subscriber base after elevated levels of churn following the COVID-19 pandemic in 2020.</w:t>
      </w:r>
    </w:p>
    <w:p>
      <w:pPr>
        <w:spacing w:after="0" w:line="211" w:lineRule="exact"/>
        <w:rPr>
          <w:sz w:val="20"/>
          <w:szCs w:val="20"/>
          <w:color w:val="auto"/>
        </w:rPr>
      </w:pPr>
    </w:p>
    <w:p>
      <w:pPr>
        <w:jc w:val="both"/>
        <w:ind w:firstLine="235"/>
        <w:spacing w:after="0" w:line="261" w:lineRule="auto"/>
        <w:rPr>
          <w:sz w:val="20"/>
          <w:szCs w:val="20"/>
          <w:color w:val="auto"/>
        </w:rPr>
      </w:pPr>
      <w:r>
        <w:rPr>
          <w:rFonts w:ascii="Arial" w:cs="Arial" w:eastAsia="Arial" w:hAnsi="Arial"/>
          <w:sz w:val="17"/>
          <w:szCs w:val="17"/>
          <w:color w:val="auto"/>
        </w:rPr>
        <w:t>Commercial IoT service revenue increased 1% and 3%, respectively, for the three and nine months ended September 30, 2021. For both the three and nine periods, Commercial IoT service revenue increased due to a 2% and 5% increase in ARPU, respectively, partially offset by fewer average subscribers of 1% and 2%, respectively. The increase in ARPU was due to higher usage and the mix of our subscribers on higher rate plans compared to the prior year periods. The decrease in average subscribers is due to higher churn and fewer activations during most of 2020 resulting from the impact of COVID-19. This customer behavior has changed in 2021, indicating a recovery in Commercial IoT demand. Gross activations have continued to increase since the fourth quarter of 2020 and churn was 11% lower over the last twelve months compared to the prior year period. Importantly, Commercial IoT equipment sales increased approximately 50% compared to both prior year periods (discussed further below) which we believe is another indication that Commercial IoT service revenue is likely to grow in the</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77" w:right="339" w:bottom="1440" w:gutter="0" w:footer="0" w:header="0"/>
        </w:sectPr>
      </w:pPr>
    </w:p>
    <w:bookmarkStart w:id="27" w:name="page28"/>
    <w:bookmarkEnd w:id="27"/>
    <w:p>
      <w:pPr>
        <w:jc w:val="both"/>
        <w:spacing w:after="0" w:line="288" w:lineRule="auto"/>
        <w:rPr>
          <w:sz w:val="20"/>
          <w:szCs w:val="20"/>
          <w:color w:val="auto"/>
        </w:rPr>
      </w:pPr>
      <w:r>
        <w:rPr>
          <w:rFonts w:ascii="Arial" w:cs="Arial" w:eastAsia="Arial" w:hAnsi="Arial"/>
          <w:sz w:val="17"/>
          <w:szCs w:val="17"/>
          <w:color w:val="auto"/>
        </w:rPr>
        <w:t xml:space="preserve">future. As discussed above in </w:t>
      </w:r>
      <w:r>
        <w:rPr>
          <w:rFonts w:ascii="Arial" w:cs="Arial" w:eastAsia="Arial" w:hAnsi="Arial"/>
          <w:sz w:val="17"/>
          <w:szCs w:val="17"/>
          <w:i w:val="1"/>
          <w:iCs w:val="1"/>
          <w:color w:val="auto"/>
        </w:rPr>
        <w:t>Duplex Service Revenue,</w:t>
      </w:r>
      <w:r>
        <w:rPr>
          <w:rFonts w:ascii="Arial" w:cs="Arial" w:eastAsia="Arial" w:hAnsi="Arial"/>
          <w:sz w:val="17"/>
          <w:szCs w:val="17"/>
          <w:color w:val="auto"/>
        </w:rPr>
        <w:t xml:space="preserve"> Commercial IoT ARPU was negatively impacted by a $0.4 million reclassification of foreign sales tax from Duplex to Commercial IoT during the third quarter 2021.</w:t>
      </w:r>
    </w:p>
    <w:p>
      <w:pPr>
        <w:spacing w:after="0" w:line="184" w:lineRule="exact"/>
        <w:rPr>
          <w:sz w:val="20"/>
          <w:szCs w:val="20"/>
          <w:color w:val="auto"/>
        </w:rPr>
      </w:pPr>
    </w:p>
    <w:p>
      <w:pPr>
        <w:jc w:val="both"/>
        <w:ind w:firstLine="235"/>
        <w:spacing w:after="0" w:line="256" w:lineRule="auto"/>
        <w:rPr>
          <w:sz w:val="20"/>
          <w:szCs w:val="20"/>
          <w:color w:val="auto"/>
        </w:rPr>
      </w:pPr>
      <w:r>
        <w:rPr>
          <w:rFonts w:ascii="Arial" w:cs="Arial" w:eastAsia="Arial" w:hAnsi="Arial"/>
          <w:sz w:val="17"/>
          <w:szCs w:val="17"/>
          <w:color w:val="auto"/>
        </w:rPr>
        <w:t>Engineering and other service revenue decreased $0.7 million and $4.5 million, respectively, for the three and nine months ended September 30, 2021 compared to the same periods in 2020. These fluctuations in engineering and other service revenue are due primarily to the timing and amount of revenue recognized associated with the completion of certain milestones for a specific ongoing contract.</w:t>
      </w:r>
    </w:p>
    <w:p>
      <w:pPr>
        <w:spacing w:after="0" w:line="19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Subscriber Equipment Sales</w:t>
      </w:r>
    </w:p>
    <w:p>
      <w:pPr>
        <w:spacing w:after="0" w:line="249"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Revenue from Duplex equipment sales decreased $0.2 million and $0.7 million, respectively, for the three and nine months ended September 30, 2021 compared to the same periods in 2020. This decrease was driven primarily by a lower volume of Sat-Fi2® device sales.</w:t>
      </w:r>
    </w:p>
    <w:p>
      <w:pPr>
        <w:spacing w:after="0" w:line="184" w:lineRule="exact"/>
        <w:rPr>
          <w:sz w:val="20"/>
          <w:szCs w:val="20"/>
          <w:color w:val="auto"/>
        </w:rPr>
      </w:pPr>
    </w:p>
    <w:p>
      <w:pPr>
        <w:jc w:val="both"/>
        <w:ind w:firstLine="235"/>
        <w:spacing w:after="0" w:line="244" w:lineRule="auto"/>
        <w:rPr>
          <w:sz w:val="20"/>
          <w:szCs w:val="20"/>
          <w:color w:val="auto"/>
        </w:rPr>
      </w:pPr>
      <w:r>
        <w:rPr>
          <w:rFonts w:ascii="Arial" w:cs="Arial" w:eastAsia="Arial" w:hAnsi="Arial"/>
          <w:sz w:val="17"/>
          <w:szCs w:val="17"/>
          <w:color w:val="auto"/>
        </w:rPr>
        <w:t>Revenue from SPOT equipment sales was flat and increased $1.1 million, respectively, for the three and nine months ended September 30, 2021 compared to the same periods in 2020. For the three month period, the fluctuation in revenue from SPOT equipment sales was driven by a higher volume of component parts sold to our equipment manufacturer during the third quarter of 2021 compared to the same period in 2020. We occasionally sell component parts to our equipment manufacturer to use in final products; these sales fluctuate based on the volume and price of parts that we directly source for the production of our equipment. Offsetting the increase in component parts sold during the quarter was lower volume of SPOT X</w:t>
      </w:r>
      <w:r>
        <w:rPr>
          <w:rFonts w:ascii="Arial" w:cs="Arial" w:eastAsia="Arial" w:hAnsi="Arial"/>
          <w:sz w:val="22"/>
          <w:szCs w:val="22"/>
          <w:color w:val="auto"/>
          <w:vertAlign w:val="superscript"/>
        </w:rPr>
        <w:t>®</w:t>
      </w:r>
      <w:r>
        <w:rPr>
          <w:rFonts w:ascii="Arial" w:cs="Arial" w:eastAsia="Arial" w:hAnsi="Arial"/>
          <w:sz w:val="17"/>
          <w:szCs w:val="17"/>
          <w:color w:val="auto"/>
        </w:rPr>
        <w:t xml:space="preserve"> and SPOT Gen4</w:t>
      </w:r>
      <w:r>
        <w:rPr>
          <w:rFonts w:ascii="Arial" w:cs="Arial" w:eastAsia="Arial" w:hAnsi="Arial"/>
          <w:sz w:val="22"/>
          <w:szCs w:val="22"/>
          <w:color w:val="auto"/>
          <w:vertAlign w:val="superscript"/>
        </w:rPr>
        <w:t>TM</w:t>
      </w:r>
      <w:r>
        <w:rPr>
          <w:rFonts w:ascii="Arial" w:cs="Arial" w:eastAsia="Arial" w:hAnsi="Arial"/>
          <w:sz w:val="17"/>
          <w:szCs w:val="17"/>
          <w:color w:val="auto"/>
        </w:rPr>
        <w:t xml:space="preserve"> due in part to inventory shortages, which delayed the fulfillment of certain orders into the fourth quarter of 2021. We have generally been successful in managing supply chain disruptions caused by component part shortages; however, demand exceeded supply at times during the third quarter of 2021 and, while difficult to forecast, we expect the component chip shortage to extend into 2022. For the nine month period, the increase in revenue from SPOT equipment sales was driven by higher volume of SPOT Trace, improved pricing for SPOT Trace and SPOT X</w:t>
      </w:r>
      <w:r>
        <w:rPr>
          <w:rFonts w:ascii="Arial" w:cs="Arial" w:eastAsia="Arial" w:hAnsi="Arial"/>
          <w:sz w:val="22"/>
          <w:szCs w:val="22"/>
          <w:color w:val="auto"/>
          <w:vertAlign w:val="superscript"/>
        </w:rPr>
        <w:t>®</w:t>
      </w:r>
      <w:r>
        <w:rPr>
          <w:rFonts w:ascii="Arial" w:cs="Arial" w:eastAsia="Arial" w:hAnsi="Arial"/>
          <w:sz w:val="17"/>
          <w:szCs w:val="17"/>
          <w:color w:val="auto"/>
        </w:rPr>
        <w:t>, which increased revenue year over year, and an increase in component parts (discussed above).</w:t>
      </w:r>
    </w:p>
    <w:p>
      <w:pPr>
        <w:spacing w:after="0" w:line="222" w:lineRule="exact"/>
        <w:rPr>
          <w:sz w:val="20"/>
          <w:szCs w:val="20"/>
          <w:color w:val="auto"/>
        </w:rPr>
      </w:pPr>
    </w:p>
    <w:p>
      <w:pPr>
        <w:jc w:val="both"/>
        <w:ind w:firstLine="235"/>
        <w:spacing w:after="0" w:line="284" w:lineRule="auto"/>
        <w:rPr>
          <w:sz w:val="20"/>
          <w:szCs w:val="20"/>
          <w:color w:val="auto"/>
        </w:rPr>
      </w:pPr>
      <w:r>
        <w:rPr>
          <w:rFonts w:ascii="Arial" w:cs="Arial" w:eastAsia="Arial" w:hAnsi="Arial"/>
          <w:sz w:val="16"/>
          <w:szCs w:val="16"/>
          <w:color w:val="auto"/>
        </w:rPr>
        <w:t>Revenue from Commercial IoT equipment sales increased $0.6 million and $1.8 million, respectively, for the three and nine months ended September 30, 2021 compared to the same periods in 2020. This increase resulted from a higher sales volume of almost all of our IoT devices, primarily driven by our SmartOne devices and modules. Sales were higher than the prior year despite the same component part shortage issues discussed above, which resulted in sales orders exceeding available inventory supply during the third quarter of 2021. We continue to believe that the increase in demand during 2021 is an indication of a recovery in Commercial IoT after the oil and gas industry and COVID-related downturns experienced in 2020.</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Operating Expenses</w:t>
      </w:r>
    </w:p>
    <w:p>
      <w:pPr>
        <w:spacing w:after="0" w:line="255"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6"/>
          <w:szCs w:val="16"/>
          <w:color w:val="auto"/>
        </w:rPr>
        <w:t>Total operating expenses decreased slightly to $47.3 million from $47.4 million and increased slightly to $139.8 million from $139.4 million, respectively, for the three and nine months ended September 30, 2021 compared to the same periods in 2020. Reductions in the value of inventory, an increase in cost of services and higher cost of subscriber equipment sales drove the increase in operating expenses during 2021; these increases were offset by lower management, general and administrative ("MG&amp;A") costs. The main contributors to the variance in operating expenses are explained in further detail below.</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Cost of Services</w:t>
      </w:r>
    </w:p>
    <w:p>
      <w:pPr>
        <w:spacing w:after="0" w:line="249" w:lineRule="exact"/>
        <w:rPr>
          <w:sz w:val="20"/>
          <w:szCs w:val="20"/>
          <w:color w:val="auto"/>
        </w:rPr>
      </w:pPr>
    </w:p>
    <w:p>
      <w:pPr>
        <w:jc w:val="both"/>
        <w:ind w:firstLine="235"/>
        <w:spacing w:after="0" w:line="307" w:lineRule="auto"/>
        <w:rPr>
          <w:sz w:val="20"/>
          <w:szCs w:val="20"/>
          <w:color w:val="auto"/>
        </w:rPr>
      </w:pPr>
      <w:r>
        <w:rPr>
          <w:rFonts w:ascii="Arial" w:cs="Arial" w:eastAsia="Arial" w:hAnsi="Arial"/>
          <w:sz w:val="15"/>
          <w:szCs w:val="15"/>
          <w:color w:val="auto"/>
        </w:rPr>
        <w:t>Cost of services increased $1.1 million and $1.9 million, respectively, for the three and nine months ended September 30, 2021 compared to the same periods in 2020. The increase in cost of services for both periods was driven primarily by higher professional fees and licensing costs related to our implementation of a new enterprise resource planning ("ERP") system, which is expected to go-live in the first quarter of 2022 as well as lease expense associated with new gateway teleport leases that started in the second quarter of 2021. For the nine-month period, these increases were offset primarily by lower maintenance costs resulting from revisions to contract terms with certain vendors for gateway and software maintenance that was completed during the first half of 2021.</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28" w:name="page29"/>
    <w:bookmarkEnd w:id="28"/>
    <w:p>
      <w:pPr>
        <w:spacing w:after="0"/>
        <w:rPr>
          <w:sz w:val="20"/>
          <w:szCs w:val="20"/>
          <w:color w:val="auto"/>
        </w:rPr>
      </w:pPr>
      <w:r>
        <w:rPr>
          <w:rFonts w:ascii="Arial" w:cs="Arial" w:eastAsia="Arial" w:hAnsi="Arial"/>
          <w:sz w:val="17"/>
          <w:szCs w:val="17"/>
          <w:i w:val="1"/>
          <w:iCs w:val="1"/>
          <w:color w:val="auto"/>
        </w:rPr>
        <w:t>Cost of Subscriber Equipment Sales</w:t>
      </w:r>
    </w:p>
    <w:p>
      <w:pPr>
        <w:spacing w:after="0" w:line="249" w:lineRule="exact"/>
        <w:rPr>
          <w:sz w:val="20"/>
          <w:szCs w:val="20"/>
          <w:color w:val="auto"/>
        </w:rPr>
      </w:pPr>
    </w:p>
    <w:p>
      <w:pPr>
        <w:jc w:val="both"/>
        <w:ind w:firstLine="235"/>
        <w:spacing w:after="0" w:line="300" w:lineRule="auto"/>
        <w:rPr>
          <w:sz w:val="20"/>
          <w:szCs w:val="20"/>
          <w:color w:val="auto"/>
        </w:rPr>
      </w:pPr>
      <w:r>
        <w:rPr>
          <w:rFonts w:ascii="Arial" w:cs="Arial" w:eastAsia="Arial" w:hAnsi="Arial"/>
          <w:sz w:val="15"/>
          <w:szCs w:val="15"/>
          <w:color w:val="auto"/>
        </w:rPr>
        <w:t>Cost of subscriber equipment sales increased $0.1 million and $0.2 million, respectively, for the three and nine months ended September 30, 2021 from the same periods in 2020. Cost of subscriber equipment sales increased for both periods, which is generally consistent with the increase in total revenue from subscriber equipment sales. Offsetting the increase in expense for the nine-month period was the reversal of an accrual for potential tariffs. During the second quarter of 2021, pursuant to regulatory developments, we reversed an accrual for potential tariffs owed on imports from China made prior to a ruling by the U.S Customs and Border Protection in September 2019 that we no longer believe will be due, resulting in an expense reduction of $0.9 million recognized during the second quarter of 2021. The improved margin during the three and nine months ended September 30, 2021 was impacted by the mix of equipment sold during the respective periods, particularly higher sales of Commercial IoT devices. During 2021, our primary manufacturer's labor costs were reduced, offsetting the impact from higher component part prices; therefore, there was minimal net impact on the margin generated from SPOT and Commercial IoT product sales.</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Cost of Subscriber Equipment Sales - Reduction in the Value of Inventory</w:t>
      </w:r>
    </w:p>
    <w:p>
      <w:pPr>
        <w:spacing w:after="0" w:line="249"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During the second quarter of 2021, we recorded a reduction in the value of inventory totaling $0.8 million. We wrote off certain Sat-Fi2 materials that are not likely to be used in production as well as defective inventory units that are not saleable. Similar activity did not occur in 2020.</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Marketing, General and Administrative</w:t>
      </w:r>
    </w:p>
    <w:p>
      <w:pPr>
        <w:spacing w:after="0" w:line="249" w:lineRule="exact"/>
        <w:rPr>
          <w:sz w:val="20"/>
          <w:szCs w:val="20"/>
          <w:color w:val="auto"/>
        </w:rPr>
      </w:pPr>
    </w:p>
    <w:p>
      <w:pPr>
        <w:jc w:val="both"/>
        <w:ind w:firstLine="235"/>
        <w:spacing w:after="0" w:line="295" w:lineRule="auto"/>
        <w:rPr>
          <w:sz w:val="20"/>
          <w:szCs w:val="20"/>
          <w:color w:val="auto"/>
        </w:rPr>
      </w:pPr>
      <w:r>
        <w:rPr>
          <w:rFonts w:ascii="Arial" w:cs="Arial" w:eastAsia="Arial" w:hAnsi="Arial"/>
          <w:sz w:val="15"/>
          <w:szCs w:val="15"/>
          <w:color w:val="auto"/>
        </w:rPr>
        <w:t>MG&amp;A expenses decreased $0.9 million and $2.4 million, respectively, for the three and nine months ended September 30, 2021, compared to the same periods in 2020. For both the three- and nine-month periods, lower dealer commissions as well as stock-based compensation contributed to the decrease in expenses. For the nine-month period, decreased credit losses also contributed to the decrease in MG&amp;A during 2021. During 2020, we recorded credit loss reserves related to certain customer receivable balances that were not expected to be collectible due to financial difficulties resulting from the impact of COVID-</w:t>
      </w:r>
    </w:p>
    <w:p>
      <w:pPr>
        <w:jc w:val="both"/>
        <w:ind w:firstLine="5"/>
        <w:spacing w:after="0" w:line="265" w:lineRule="auto"/>
        <w:tabs>
          <w:tab w:leader="none" w:pos="265" w:val="left"/>
        </w:tabs>
        <w:numPr>
          <w:ilvl w:val="0"/>
          <w:numId w:val="8"/>
        </w:numPr>
        <w:rPr>
          <w:rFonts w:ascii="Arial" w:cs="Arial" w:eastAsia="Arial" w:hAnsi="Arial"/>
          <w:sz w:val="17"/>
          <w:szCs w:val="17"/>
          <w:color w:val="auto"/>
        </w:rPr>
      </w:pPr>
      <w:r>
        <w:rPr>
          <w:rFonts w:ascii="Arial" w:cs="Arial" w:eastAsia="Arial" w:hAnsi="Arial"/>
          <w:sz w:val="17"/>
          <w:szCs w:val="17"/>
          <w:color w:val="auto"/>
        </w:rPr>
        <w:t>During the first and second quarters of 2021, we recovered a portion of these previously reserved customer balances. Offsetting the favorable fluctuations in credit losses were higher subscriber acquisition costs for the nine months ended September 30, 2021, including increases in customer appeasement credits that are not expected to recur at this level.</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Other (Expense) Income</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Gain (Loss) on Extinguishment of Debt</w:t>
      </w:r>
    </w:p>
    <w:p>
      <w:pPr>
        <w:spacing w:after="0" w:line="249"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We recorded gain on extinguishment of debt during the second quarter of 2021 totaling $5.0 million. In June 2021, the Small Business Administration ("SBA") approved our request for forgiveness of amounts outstanding under the Paycheck Protection Program ("PPP") loan. Offsetting this gain during the nine-month period were the write-offs of a portion of remaining deferred financing costs totaling $2.3 million and $0.8 million during the second and third quarters of 2021, respectively, resulting from unscheduled principal repayments of the First Lien Facility Agreement in those quarters. Similar activity did not occur in 2020.</w:t>
      </w:r>
    </w:p>
    <w:p>
      <w:pPr>
        <w:spacing w:after="0" w:line="206"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Interest Income and Expense</w:t>
      </w:r>
    </w:p>
    <w:p>
      <w:pPr>
        <w:spacing w:after="0" w:line="249" w:lineRule="exact"/>
        <w:rPr>
          <w:sz w:val="20"/>
          <w:szCs w:val="20"/>
          <w:color w:val="auto"/>
        </w:rPr>
      </w:pPr>
    </w:p>
    <w:p>
      <w:pPr>
        <w:jc w:val="both"/>
        <w:ind w:firstLine="235"/>
        <w:spacing w:after="0" w:line="299" w:lineRule="auto"/>
        <w:rPr>
          <w:sz w:val="20"/>
          <w:szCs w:val="20"/>
          <w:color w:val="auto"/>
        </w:rPr>
      </w:pPr>
      <w:r>
        <w:rPr>
          <w:rFonts w:ascii="Arial" w:cs="Arial" w:eastAsia="Arial" w:hAnsi="Arial"/>
          <w:sz w:val="15"/>
          <w:szCs w:val="15"/>
          <w:color w:val="auto"/>
        </w:rPr>
        <w:t>Interest income and expense, net, was generally flat and decreased $3.2 million, respectively, during the three and nine months ended September 30, 2021, compared to the same periods in 2020. For the three-month period, there were no significant items impacting the increase in expense. For the nine-month period, the decrease in interest income and expense, net, was due to lower gross interest costs and higher capitalized interest. Gross interest costs decreased $2.7 million and capitalized interest increased $0.6 million, which decreased interest expense. Gross interest costs were impacted by lower interest associated with the First Lien Facility Agreement and the Loan Agreement with Thermo; these items were offset by higher interest on the Second Lien Facility Agreement. Interest costs for the First Lien Facility Agreement were favorably impacted by reductions in the principal balance over the last twelve months as well as a decrease in the interest rate driven by a reduction in LIBOR. As previously discussed, we have made principal payments of the First Lien Facility Agreement totaling $126.7 million in the last twelve months, which reduced the principal amount outstanding and lowered interest costs. Lower interest costs for the Loan Agreement with Thermo were driven by Thermo's conversion of the entire principal balance outstanding under the Loan Agreement in February 2020.</w:t>
      </w: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29" w:name="page30"/>
    <w:bookmarkEnd w:id="29"/>
    <w:p>
      <w:pPr>
        <w:spacing w:after="0"/>
        <w:rPr>
          <w:sz w:val="20"/>
          <w:szCs w:val="20"/>
          <w:color w:val="auto"/>
        </w:rPr>
      </w:pPr>
      <w:r>
        <w:rPr>
          <w:rFonts w:ascii="Arial" w:cs="Arial" w:eastAsia="Arial" w:hAnsi="Arial"/>
          <w:sz w:val="17"/>
          <w:szCs w:val="17"/>
          <w:i w:val="1"/>
          <w:iCs w:val="1"/>
          <w:color w:val="auto"/>
        </w:rPr>
        <w:t>Derivative (Loss) Gain</w:t>
      </w:r>
    </w:p>
    <w:p>
      <w:pPr>
        <w:spacing w:after="0" w:line="249" w:lineRule="exact"/>
        <w:rPr>
          <w:sz w:val="20"/>
          <w:szCs w:val="20"/>
          <w:color w:val="auto"/>
        </w:rPr>
      </w:pPr>
    </w:p>
    <w:p>
      <w:pPr>
        <w:jc w:val="both"/>
        <w:ind w:firstLine="235"/>
        <w:spacing w:after="0" w:line="260" w:lineRule="auto"/>
        <w:rPr>
          <w:sz w:val="20"/>
          <w:szCs w:val="20"/>
          <w:color w:val="auto"/>
        </w:rPr>
      </w:pPr>
      <w:r>
        <w:rPr>
          <w:rFonts w:ascii="Arial" w:cs="Arial" w:eastAsia="Arial" w:hAnsi="Arial"/>
          <w:sz w:val="17"/>
          <w:szCs w:val="17"/>
          <w:color w:val="auto"/>
        </w:rPr>
        <w:t>We recorded derivative gains of $0.2 million and of $1.2 million for the three months ended September 30, 2021 and 2020, respectively, and losses of $2.2 million and gains of $1.6 million for the nine months ended September 30, 2021 and 2020, respectively. We recognize gains or losses due to the change in the value of certain embedded features within our debt instruments that require standalone derivative accounting. The gains recorded during the three months ended September 30, 2021 were primarily impacted by a decrease in our stock price, which is a significant input used in the valuation of the embedded derivative associated with our 2013 8.00% Notes. Conversely, the loss recorded during the nine months ended September 30, 2021 was primarily impacted by increases in our stock price and stock price volatility. The gains recorded during the three and nine months ended September 30, 2020 were impacted by fluctuations in a lower discount yield used in the valuation of the embedded derivative associated with our Second Lien Term Loan Facility Agreement. For the first quarter of 2020, the assumed high probability of conversion of the Loan Agreement with Thermo, which occurred in February 2020, also decreased the value of our derivative liabilities. See Note 7: Fair Value Measurements to our condensed consolidated financial statements for further discussion of the computation of the fair value of our derivatives.</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Foreign Currency Gain (Loss)</w:t>
      </w:r>
    </w:p>
    <w:p>
      <w:pPr>
        <w:spacing w:after="0" w:line="249" w:lineRule="exact"/>
        <w:rPr>
          <w:sz w:val="20"/>
          <w:szCs w:val="20"/>
          <w:color w:val="auto"/>
        </w:rPr>
      </w:pPr>
    </w:p>
    <w:p>
      <w:pPr>
        <w:jc w:val="both"/>
        <w:ind w:firstLine="235"/>
        <w:spacing w:after="0" w:line="260" w:lineRule="auto"/>
        <w:rPr>
          <w:sz w:val="20"/>
          <w:szCs w:val="20"/>
          <w:color w:val="auto"/>
        </w:rPr>
      </w:pPr>
      <w:r>
        <w:rPr>
          <w:rFonts w:ascii="Arial" w:cs="Arial" w:eastAsia="Arial" w:hAnsi="Arial"/>
          <w:sz w:val="17"/>
          <w:szCs w:val="17"/>
          <w:color w:val="auto"/>
        </w:rPr>
        <w:t>Foreign currency gain (loss) fluctuated by $5.1 million to a loss of $4.8 million for the three months ended September 30, 2021 from a gain of $0.3 million for the same period in 2020. Foreign currency gain (loss) fluctuated by $2.8 million to a loss of $4.6 million for the nine months ended September 30, 2021 from a loss of $7.4 million for the same period in 2020. Changes in foreign currency gains and losses are driven by the remeasurement of financial statement items, which are denominated in various currencies, at the end of each reporting period. For the three months ended September 30, 2021, the foreign currency loss was due to the weakening of the Euro, Canadian dollar and Brazilian real relative to the U.S. dollar. For the nine months ended September 30, 2021, the foreign currency loss was due to the weakening of the Euro and Brazilian real relative to the U.S. dollar. For the same periods in 2020, the strengthening of the Canadian dollar was offset by the weakening of the Brazilian real, both relative to the U.S. dollar, which contributed to the foreign currency gain for the three months ended September 30, 2020 and the weakening of the Canadian dollar and Brazilian real relative to the U.S. dollar contributed to the foreign currency losses for the nine months ended September 30, 2020.</w:t>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Liquidity and Capital Resources</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Overview</w:t>
      </w:r>
    </w:p>
    <w:p>
      <w:pPr>
        <w:spacing w:after="0" w:line="249" w:lineRule="exact"/>
        <w:rPr>
          <w:sz w:val="20"/>
          <w:szCs w:val="20"/>
          <w:color w:val="auto"/>
        </w:rPr>
      </w:pPr>
    </w:p>
    <w:p>
      <w:pPr>
        <w:jc w:val="both"/>
        <w:ind w:firstLine="235"/>
        <w:spacing w:after="0" w:line="247" w:lineRule="auto"/>
        <w:rPr>
          <w:sz w:val="20"/>
          <w:szCs w:val="20"/>
          <w:color w:val="auto"/>
        </w:rPr>
      </w:pPr>
      <w:r>
        <w:rPr>
          <w:rFonts w:ascii="Arial" w:cs="Arial" w:eastAsia="Arial" w:hAnsi="Arial"/>
          <w:sz w:val="17"/>
          <w:szCs w:val="17"/>
          <w:color w:val="auto"/>
        </w:rPr>
        <w:t>Our principal near-term liquidity requirements include funding our operating costs and capital expenditures. Our principal sources of liquidity include cash on hand and cash flows from operations. Beyond the next twelve months, our liquidity requirements also include paying our debt service obligations. We also have a source of liquidity in our debt service reserve account, which is classified as non-current restricted cash consistent with the associated principal balance of our First Lien Facility Agreement. We currently expect that sources of liquidity over the next twelve months will be sufficient for us to cover our obligations. We may also access equity and debt capital markets from time to time or refinance our debt obligations to improve the terms of our debt instruments and lower principal and interest payments.</w:t>
      </w:r>
    </w:p>
    <w:p>
      <w:pPr>
        <w:spacing w:after="0" w:line="204" w:lineRule="exact"/>
        <w:rPr>
          <w:sz w:val="20"/>
          <w:szCs w:val="20"/>
          <w:color w:val="auto"/>
        </w:rPr>
      </w:pPr>
    </w:p>
    <w:p>
      <w:pPr>
        <w:jc w:val="both"/>
        <w:ind w:firstLine="235"/>
        <w:spacing w:after="0" w:line="251" w:lineRule="auto"/>
        <w:rPr>
          <w:sz w:val="20"/>
          <w:szCs w:val="20"/>
          <w:color w:val="auto"/>
        </w:rPr>
      </w:pPr>
      <w:r>
        <w:rPr>
          <w:rFonts w:ascii="Arial" w:cs="Arial" w:eastAsia="Arial" w:hAnsi="Arial"/>
          <w:sz w:val="17"/>
          <w:szCs w:val="17"/>
          <w:color w:val="auto"/>
        </w:rPr>
        <w:t>During the first quarter of 2021, we received proceeds totaling $43.7 million from the exercise of the remaining outstanding warrants issued to the lenders of our Second Lien Facility Agreement in 2019. As of March 31, 2021, all of the warrants issued to our lenders have been exercised resulting in total proceeds since issuance of $47.3 million. These proceeds were used to meet our obligation to raise no less than $45.0 million of equity prior to March 30, 2021. In April 2021, these proceeds were used to pay principal due under the Facility Agreement.</w:t>
      </w:r>
    </w:p>
    <w:p>
      <w:pPr>
        <w:spacing w:after="0" w:line="202" w:lineRule="exact"/>
        <w:rPr>
          <w:sz w:val="20"/>
          <w:szCs w:val="20"/>
          <w:color w:val="auto"/>
        </w:rPr>
      </w:pPr>
    </w:p>
    <w:p>
      <w:pPr>
        <w:jc w:val="both"/>
        <w:ind w:firstLine="235"/>
        <w:spacing w:after="0" w:line="251" w:lineRule="auto"/>
        <w:rPr>
          <w:sz w:val="20"/>
          <w:szCs w:val="20"/>
          <w:color w:val="auto"/>
        </w:rPr>
      </w:pPr>
      <w:r>
        <w:rPr>
          <w:rFonts w:ascii="Arial" w:cs="Arial" w:eastAsia="Arial" w:hAnsi="Arial"/>
          <w:sz w:val="17"/>
          <w:szCs w:val="17"/>
          <w:color w:val="auto"/>
        </w:rPr>
        <w:t>In June and September 2021, we received two advance payments of $37.5 million each from a customer pursuant to an agreement related to the Terms Agreement described in our 2020 Annual Report. The advance payments are expected to be repaid primarily from services provided by us under the Terms Agreement. Any portion of the advance payment not repaid in services will be repaid in cash over time. We used the proceeds from these advance payments to repay a portion of the amount outstanding under our First Lien Facility Agreement.</w:t>
      </w:r>
    </w:p>
    <w:p>
      <w:pPr>
        <w:spacing w:after="0" w:line="202" w:lineRule="exact"/>
        <w:rPr>
          <w:sz w:val="20"/>
          <w:szCs w:val="20"/>
          <w:color w:val="auto"/>
        </w:rPr>
      </w:pPr>
    </w:p>
    <w:p>
      <w:pPr>
        <w:jc w:val="both"/>
        <w:ind w:firstLine="235"/>
        <w:spacing w:after="0" w:line="256" w:lineRule="auto"/>
        <w:rPr>
          <w:sz w:val="20"/>
          <w:szCs w:val="20"/>
          <w:color w:val="auto"/>
        </w:rPr>
      </w:pPr>
      <w:r>
        <w:rPr>
          <w:rFonts w:ascii="Arial" w:cs="Arial" w:eastAsia="Arial" w:hAnsi="Arial"/>
          <w:sz w:val="17"/>
          <w:szCs w:val="17"/>
          <w:color w:val="auto"/>
        </w:rPr>
        <w:t>As of September 30, 2021, we held cash and cash equivalents of $11.3 million and restricted cash of $51.1 million on our condensed consolidated balance sheet. Restricted cash will be used towards the final payment due under the First Lien Facility Agreement in December 2022. As of December 31, 2020, we held cash and cash equivalents of $13.3 million and restricted cash of $54.7 million.</w:t>
      </w:r>
    </w:p>
    <w:p>
      <w:pPr>
        <w:spacing w:after="0" w:line="198"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The total carrying amount of our debt outstanding was $286.9 million at September 30, 2021, compared to $385.4 million at December 31, 2020. At September 30, 2021, there was no current portion of debt outstanding. At December 31, 2020, the</w:t>
      </w: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30" w:name="page31"/>
    <w:bookmarkEnd w:id="30"/>
    <w:p>
      <w:pPr>
        <w:spacing w:after="0"/>
        <w:rPr>
          <w:sz w:val="20"/>
          <w:szCs w:val="20"/>
          <w:color w:val="auto"/>
        </w:rPr>
      </w:pPr>
      <w:r>
        <w:rPr>
          <w:rFonts w:ascii="Arial" w:cs="Arial" w:eastAsia="Arial" w:hAnsi="Arial"/>
          <w:sz w:val="15"/>
          <w:szCs w:val="15"/>
          <w:color w:val="auto"/>
        </w:rPr>
        <w:t>current portion of our debt outstanding was $58.8 million, which represented the scheduled payments under the First Lien Facility Agreement and the PPP Loan.</w:t>
      </w:r>
    </w:p>
    <w:p>
      <w:pPr>
        <w:spacing w:after="0" w:line="272"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The $98.5 million decrease in carrying value of our debt was due primarily to principal payments of the First Lien Facility Agreement totaling $126.7 million during the first nine months of 2021 (discussed below) as well as the forgiveness of the PPP Loan, totaling $4.9 million (net of less than $0.1 million of deferred financing costs prior to forgiveness). Offsetting these debt reductions was a higher carrying value of the Second Lien Facility Agreement of $27.9 million due to the accrual of PIK interest and the accretion of debt discount as well as $5.1 million related to the amortization of deferred financing costs and write-off of deferred financing costs for the First Lien Facility Agreement.</w:t>
      </w:r>
    </w:p>
    <w:p>
      <w:pPr>
        <w:spacing w:after="0" w:line="20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Cash Flows for the nine months ended September 30, 2021 and 2020</w:t>
      </w:r>
    </w:p>
    <w:p>
      <w:pPr>
        <w:spacing w:after="0" w:line="249" w:lineRule="exact"/>
        <w:rPr>
          <w:sz w:val="20"/>
          <w:szCs w:val="20"/>
          <w:color w:val="auto"/>
        </w:rPr>
      </w:pPr>
    </w:p>
    <w:p>
      <w:pPr>
        <w:ind w:left="240"/>
        <w:spacing w:after="0"/>
        <w:rPr>
          <w:sz w:val="20"/>
          <w:szCs w:val="20"/>
          <w:color w:val="auto"/>
        </w:rPr>
      </w:pPr>
      <w:r>
        <w:rPr>
          <w:rFonts w:ascii="Arial" w:cs="Arial" w:eastAsia="Arial" w:hAnsi="Arial"/>
          <w:sz w:val="17"/>
          <w:szCs w:val="17"/>
          <w:color w:val="auto"/>
        </w:rPr>
        <w:t>The following table shows our cash flows from operating, investing and financing activities (in thousands):</w:t>
      </w:r>
    </w:p>
    <w:p>
      <w:pPr>
        <w:spacing w:after="0" w:line="144"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78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3120" w:type="dxa"/>
            <w:vAlign w:val="bottom"/>
            <w:tcBorders>
              <w:bottom w:val="single" w:sz="8" w:color="auto"/>
            </w:tcBorders>
            <w:gridSpan w:val="4"/>
          </w:tcPr>
          <w:p>
            <w:pPr>
              <w:jc w:val="right"/>
              <w:ind w:right="853"/>
              <w:spacing w:after="0"/>
              <w:rPr>
                <w:sz w:val="20"/>
                <w:szCs w:val="20"/>
                <w:color w:val="auto"/>
              </w:rPr>
            </w:pPr>
            <w:r>
              <w:rPr>
                <w:rFonts w:ascii="Arial" w:cs="Arial" w:eastAsia="Arial" w:hAnsi="Arial"/>
                <w:sz w:val="17"/>
                <w:szCs w:val="17"/>
                <w:color w:val="auto"/>
              </w:rPr>
              <w:t>Nine Months Ended</w:t>
            </w:r>
          </w:p>
        </w:tc>
      </w:tr>
      <w:tr>
        <w:trPr>
          <w:trHeight w:val="164"/>
        </w:trPr>
        <w:tc>
          <w:tcPr>
            <w:tcW w:w="78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60" w:type="dxa"/>
            <w:vAlign w:val="bottom"/>
            <w:gridSpan w:val="2"/>
          </w:tcPr>
          <w:p>
            <w:pPr>
              <w:ind w:left="80"/>
              <w:spacing w:after="0" w:line="164" w:lineRule="exact"/>
              <w:rPr>
                <w:sz w:val="20"/>
                <w:szCs w:val="20"/>
                <w:color w:val="auto"/>
              </w:rPr>
            </w:pPr>
            <w:r>
              <w:rPr>
                <w:rFonts w:ascii="Arial" w:cs="Arial" w:eastAsia="Arial" w:hAnsi="Arial"/>
                <w:sz w:val="17"/>
                <w:szCs w:val="17"/>
                <w:color w:val="auto"/>
              </w:rPr>
              <w:t>September 30,</w:t>
            </w:r>
          </w:p>
        </w:tc>
        <w:tc>
          <w:tcPr>
            <w:tcW w:w="220" w:type="dxa"/>
            <w:vAlign w:val="bottom"/>
          </w:tcPr>
          <w:p>
            <w:pPr>
              <w:spacing w:after="0"/>
              <w:rPr>
                <w:sz w:val="14"/>
                <w:szCs w:val="14"/>
                <w:color w:val="auto"/>
              </w:rPr>
            </w:pPr>
          </w:p>
        </w:tc>
        <w:tc>
          <w:tcPr>
            <w:tcW w:w="1440" w:type="dxa"/>
            <w:vAlign w:val="bottom"/>
          </w:tcPr>
          <w:p>
            <w:pPr>
              <w:jc w:val="right"/>
              <w:ind w:right="233"/>
              <w:spacing w:after="0" w:line="164" w:lineRule="exact"/>
              <w:rPr>
                <w:sz w:val="20"/>
                <w:szCs w:val="20"/>
                <w:color w:val="auto"/>
              </w:rPr>
            </w:pPr>
            <w:r>
              <w:rPr>
                <w:rFonts w:ascii="Arial" w:cs="Arial" w:eastAsia="Arial" w:hAnsi="Arial"/>
                <w:sz w:val="17"/>
                <w:szCs w:val="17"/>
                <w:color w:val="auto"/>
                <w:w w:val="98"/>
              </w:rPr>
              <w:t>September 30,</w:t>
            </w:r>
          </w:p>
        </w:tc>
      </w:tr>
      <w:tr>
        <w:trPr>
          <w:trHeight w:val="221"/>
        </w:trPr>
        <w:tc>
          <w:tcPr>
            <w:tcW w:w="78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513"/>
              <w:spacing w:after="0"/>
              <w:rPr>
                <w:sz w:val="20"/>
                <w:szCs w:val="20"/>
                <w:color w:val="auto"/>
              </w:rPr>
            </w:pPr>
            <w:r>
              <w:rPr>
                <w:rFonts w:ascii="Arial" w:cs="Arial" w:eastAsia="Arial" w:hAnsi="Arial"/>
                <w:sz w:val="17"/>
                <w:szCs w:val="17"/>
                <w:color w:val="auto"/>
              </w:rPr>
              <w:t>2021</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ind w:right="573"/>
              <w:spacing w:after="0"/>
              <w:rPr>
                <w:sz w:val="20"/>
                <w:szCs w:val="20"/>
                <w:color w:val="auto"/>
              </w:rPr>
            </w:pPr>
            <w:r>
              <w:rPr>
                <w:rFonts w:ascii="Arial" w:cs="Arial" w:eastAsia="Arial" w:hAnsi="Arial"/>
                <w:sz w:val="17"/>
                <w:szCs w:val="17"/>
                <w:color w:val="auto"/>
              </w:rPr>
              <w:t>2020</w:t>
            </w:r>
          </w:p>
        </w:tc>
      </w:tr>
      <w:tr>
        <w:trPr>
          <w:trHeight w:val="215"/>
        </w:trPr>
        <w:tc>
          <w:tcPr>
            <w:tcW w:w="780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cash provided by operating activities</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107,166</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4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23,687</w:t>
            </w:r>
          </w:p>
        </w:tc>
      </w:tr>
      <w:tr>
        <w:trPr>
          <w:trHeight w:val="222"/>
        </w:trPr>
        <w:tc>
          <w:tcPr>
            <w:tcW w:w="7800" w:type="dxa"/>
            <w:vAlign w:val="bottom"/>
          </w:tcPr>
          <w:p>
            <w:pPr>
              <w:ind w:left="20"/>
              <w:spacing w:after="0"/>
              <w:rPr>
                <w:sz w:val="20"/>
                <w:szCs w:val="20"/>
                <w:color w:val="auto"/>
              </w:rPr>
            </w:pPr>
            <w:r>
              <w:rPr>
                <w:rFonts w:ascii="Arial" w:cs="Arial" w:eastAsia="Arial" w:hAnsi="Arial"/>
                <w:sz w:val="17"/>
                <w:szCs w:val="17"/>
                <w:color w:val="auto"/>
              </w:rPr>
              <w:t>Net cash used in investing activities</w:t>
            </w:r>
          </w:p>
        </w:tc>
        <w:tc>
          <w:tcPr>
            <w:tcW w:w="18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(30,033)</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7"/>
                <w:szCs w:val="17"/>
                <w:color w:val="auto"/>
              </w:rPr>
              <w:t>(9,295)</w:t>
            </w:r>
          </w:p>
        </w:tc>
      </w:tr>
      <w:tr>
        <w:trPr>
          <w:trHeight w:val="222"/>
        </w:trPr>
        <w:tc>
          <w:tcPr>
            <w:tcW w:w="780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cash (used in) provided by financing activities</w:t>
            </w:r>
          </w:p>
        </w:tc>
        <w:tc>
          <w:tcPr>
            <w:tcW w:w="18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(82,725)</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872</w:t>
            </w:r>
          </w:p>
        </w:tc>
      </w:tr>
      <w:tr>
        <w:trPr>
          <w:trHeight w:val="222"/>
        </w:trPr>
        <w:tc>
          <w:tcPr>
            <w:tcW w:w="78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Effect of exchange rate changes on cash, cash equivalents and restricted cash</w:t>
            </w:r>
          </w:p>
        </w:tc>
        <w:tc>
          <w:tcPr>
            <w:tcW w:w="18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(57)</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(56)</w:t>
            </w:r>
          </w:p>
        </w:tc>
      </w:tr>
      <w:tr>
        <w:trPr>
          <w:trHeight w:val="240"/>
        </w:trPr>
        <w:tc>
          <w:tcPr>
            <w:tcW w:w="7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Net (decrease) increase in cash, cash equivalents and restricted cash</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(5,649)</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15,208</w:t>
            </w:r>
          </w:p>
        </w:tc>
      </w:tr>
      <w:tr>
        <w:trPr>
          <w:trHeight w:val="20"/>
        </w:trPr>
        <w:tc>
          <w:tcPr>
            <w:tcW w:w="78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r>
    </w:tbl>
    <w:p>
      <w:pPr>
        <w:spacing w:after="0" w:line="27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Cash Flows Provided by Operating Activities</w:t>
      </w:r>
    </w:p>
    <w:p>
      <w:pPr>
        <w:spacing w:after="0" w:line="249" w:lineRule="exact"/>
        <w:rPr>
          <w:sz w:val="20"/>
          <w:szCs w:val="20"/>
          <w:color w:val="auto"/>
        </w:rPr>
      </w:pPr>
    </w:p>
    <w:p>
      <w:pPr>
        <w:jc w:val="both"/>
        <w:ind w:firstLine="235"/>
        <w:spacing w:after="0" w:line="263" w:lineRule="auto"/>
        <w:rPr>
          <w:sz w:val="20"/>
          <w:szCs w:val="20"/>
          <w:color w:val="auto"/>
        </w:rPr>
      </w:pPr>
      <w:r>
        <w:rPr>
          <w:rFonts w:ascii="Arial" w:cs="Arial" w:eastAsia="Arial" w:hAnsi="Arial"/>
          <w:sz w:val="17"/>
          <w:szCs w:val="17"/>
          <w:color w:val="auto"/>
        </w:rPr>
        <w:t>Net cash provided by operations includes primarily cash receipts from subscribers related to the purchase of equipment and satellite voice and data services as well as cash received from the performance of engineering and other service contracts. We use cash in operating activities primarily for personnel costs, inventory purchases and other general corporate expenditures. Net cash provided by operating activities during the nine months ended September 30, 2021 was $107.2 million compared to $23.7 million during the same period in 2020. The primary driver for the increase was prepayments made during 2021 by a customer totaling $95.9 million, which were recorded as deferred revenue and recoupment liability (see Note 2: Revenue to our condensed consolidated financial statements for further discussion).</w:t>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Cash Flows Used in Investing Activities</w:t>
      </w:r>
    </w:p>
    <w:p>
      <w:pPr>
        <w:spacing w:after="0" w:line="249"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Net cash used in investing activities was $30.0 million for the nine months ended September 30, 2021 compared to $9.3 million for the same period in 2020. During both 2021 and 2020, the nature of our capital expenditures was related to network upgrades. Specific projects during 2021 include costs associated with the procurement and deployment of new antennas for our gateways, the preparation and launch of our on-ground spare satellite, as well as the purchase of intangible assets related to our MSS and terrestrial spectrum licensing initiatives.</w:t>
      </w:r>
    </w:p>
    <w:p>
      <w:pPr>
        <w:spacing w:after="0" w:line="202"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Cash Flows (Used in) Provided by Financing Activities</w:t>
      </w:r>
    </w:p>
    <w:p>
      <w:pPr>
        <w:spacing w:after="0" w:line="249" w:lineRule="exact"/>
        <w:rPr>
          <w:sz w:val="20"/>
          <w:szCs w:val="20"/>
          <w:color w:val="auto"/>
        </w:rPr>
      </w:pPr>
    </w:p>
    <w:p>
      <w:pPr>
        <w:jc w:val="both"/>
        <w:ind w:firstLine="235"/>
        <w:spacing w:after="0" w:line="263" w:lineRule="auto"/>
        <w:rPr>
          <w:sz w:val="20"/>
          <w:szCs w:val="20"/>
          <w:color w:val="auto"/>
        </w:rPr>
      </w:pPr>
      <w:r>
        <w:rPr>
          <w:rFonts w:ascii="Arial" w:cs="Arial" w:eastAsia="Arial" w:hAnsi="Arial"/>
          <w:sz w:val="17"/>
          <w:szCs w:val="17"/>
          <w:color w:val="auto"/>
        </w:rPr>
        <w:t>Net cash used in financing activities was $82.7 million and net cash provided by financing activities was $0.9 million, respectively, during each of the nine month periods ended September 30, 2021 and 2020. As previously disclosed, during the first nine months of 2021, we made principal payments of the First Lien Facility Agreement totaling $126.7 million (see further discussion below). In March 2021, we received $43.7 million in proceeds from the exercise of the warrants issued with our Second Lien Facility Agreement. During 2020, we received proceeds from the Paycheck Protection Program totaling $5.0 million, which was offset by mandatory prepayments of principal on our First Lien Facility Agreement totaling $3.4 million as well as payments for debt financing costs of $1.1 million.</w:t>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Indebtedness and Available Credit</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31" w:name="page32"/>
    <w:bookmarkEnd w:id="31"/>
    <w:p>
      <w:pPr>
        <w:spacing w:after="0"/>
        <w:rPr>
          <w:sz w:val="20"/>
          <w:szCs w:val="20"/>
          <w:color w:val="auto"/>
        </w:rPr>
      </w:pPr>
      <w:r>
        <w:rPr>
          <w:rFonts w:ascii="Arial" w:cs="Arial" w:eastAsia="Arial" w:hAnsi="Arial"/>
          <w:sz w:val="17"/>
          <w:szCs w:val="17"/>
          <w:i w:val="1"/>
          <w:iCs w:val="1"/>
          <w:color w:val="auto"/>
        </w:rPr>
        <w:t>First Lien Facility Agreement</w:t>
      </w:r>
    </w:p>
    <w:p>
      <w:pPr>
        <w:spacing w:after="0" w:line="249"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In 2009, we entered into the First Lien Facility Agreement, which was amended and restated in July 2013, August 2015, June 2017 and November 2019. The First Lien Facility Agreement is scheduled to mature in December 2022. As of September 30, 2021, the principal amount outstanding under the Facility Agreement was $60.3 million.</w:t>
      </w:r>
    </w:p>
    <w:p>
      <w:pPr>
        <w:spacing w:after="0" w:line="198" w:lineRule="exact"/>
        <w:rPr>
          <w:sz w:val="20"/>
          <w:szCs w:val="20"/>
          <w:color w:val="auto"/>
        </w:rPr>
      </w:pPr>
    </w:p>
    <w:p>
      <w:pPr>
        <w:jc w:val="both"/>
        <w:ind w:firstLine="235"/>
        <w:spacing w:after="0" w:line="261" w:lineRule="auto"/>
        <w:rPr>
          <w:sz w:val="20"/>
          <w:szCs w:val="20"/>
          <w:color w:val="auto"/>
        </w:rPr>
      </w:pPr>
      <w:r>
        <w:rPr>
          <w:rFonts w:ascii="Arial" w:cs="Arial" w:eastAsia="Arial" w:hAnsi="Arial"/>
          <w:sz w:val="17"/>
          <w:szCs w:val="17"/>
          <w:color w:val="auto"/>
        </w:rPr>
        <w:t>The First Lien Facility Agreement contains customary events of default and requires that we satisfy various financial and non-financial covenants. The compliance calculations of the financial covenants of the First Lien Facility Agreement permit us to include certain cash funds we receive from the issuance of our common stock and/or subordinated indebtedness. We refer to these funds as "Equity Cure Contributions". If we violate any covenants and are unable to obtain a sufficient Equity Cure Contribution or obtain a waiver, we would be in default under the First Lien Facility Agreement, and the lenders could accelerate payment of the indebtedness. In anticipation of projected capital expenditures, in August 2021, we received a waiver from our senior lenders, increasing permitted capital expenditure limits under the First Lien Facility Agreement. As of September 30, 2021, we were in compliance with the covenants of the First Lien Facility Agreement.</w:t>
      </w:r>
    </w:p>
    <w:p>
      <w:pPr>
        <w:spacing w:after="0" w:line="211" w:lineRule="exact"/>
        <w:rPr>
          <w:sz w:val="20"/>
          <w:szCs w:val="20"/>
          <w:color w:val="auto"/>
        </w:rPr>
      </w:pPr>
    </w:p>
    <w:p>
      <w:pPr>
        <w:jc w:val="both"/>
        <w:ind w:firstLine="235"/>
        <w:spacing w:after="0" w:line="256" w:lineRule="auto"/>
        <w:rPr>
          <w:sz w:val="20"/>
          <w:szCs w:val="20"/>
          <w:color w:val="auto"/>
        </w:rPr>
      </w:pPr>
      <w:r>
        <w:rPr>
          <w:rFonts w:ascii="Arial" w:cs="Arial" w:eastAsia="Arial" w:hAnsi="Arial"/>
          <w:sz w:val="17"/>
          <w:szCs w:val="17"/>
          <w:color w:val="auto"/>
        </w:rPr>
        <w:t>The First Lien Facility Agreement requires mandatory prepayments of principal with any Excess Cash Flow (as defined and calculated in the Facility Agreement) on a semi-annual basis. During 2021, we were required to pay $4.4 million to our first lien lenders resulting from our Excess Cash Flow calculation as of December 31, 2020. This payment reduced future principal payment obligations.</w:t>
      </w:r>
    </w:p>
    <w:p>
      <w:pPr>
        <w:spacing w:after="0" w:line="198" w:lineRule="exact"/>
        <w:rPr>
          <w:sz w:val="20"/>
          <w:szCs w:val="20"/>
          <w:color w:val="auto"/>
        </w:rPr>
      </w:pPr>
    </w:p>
    <w:p>
      <w:pPr>
        <w:jc w:val="both"/>
        <w:ind w:firstLine="235"/>
        <w:spacing w:after="0" w:line="248" w:lineRule="auto"/>
        <w:rPr>
          <w:sz w:val="20"/>
          <w:szCs w:val="20"/>
          <w:color w:val="auto"/>
        </w:rPr>
      </w:pPr>
      <w:r>
        <w:rPr>
          <w:rFonts w:ascii="Arial" w:cs="Arial" w:eastAsia="Arial" w:hAnsi="Arial"/>
          <w:sz w:val="17"/>
          <w:szCs w:val="17"/>
          <w:color w:val="auto"/>
        </w:rPr>
        <w:t>The amended and restated First Lien Facility Agreement includes a requirement that we raise no less than $45.0 million from the sale of equity prior to March 31, 2021. We fulfilled this requirement with proceeds from the exercise of all the warrants issued to the Second Lien Facility Agreement lenders in November 2019. We received proceeds totaling $47.3 million, of which $3.6 million was received in December 2019 and the remaining $43.7 million was received during the first quarter of 2021. In April 2021, the proceeds were used towards the principal payment due in June 2021 and then the remaining proceeds were applied to the principal payment due in December 2021.</w:t>
      </w:r>
    </w:p>
    <w:p>
      <w:pPr>
        <w:spacing w:after="0" w:line="205" w:lineRule="exact"/>
        <w:rPr>
          <w:sz w:val="20"/>
          <w:szCs w:val="20"/>
          <w:color w:val="auto"/>
        </w:rPr>
      </w:pPr>
    </w:p>
    <w:p>
      <w:pPr>
        <w:jc w:val="both"/>
        <w:ind w:firstLine="274"/>
        <w:spacing w:after="0" w:line="297" w:lineRule="auto"/>
        <w:rPr>
          <w:sz w:val="20"/>
          <w:szCs w:val="20"/>
          <w:color w:val="auto"/>
        </w:rPr>
      </w:pPr>
      <w:r>
        <w:rPr>
          <w:rFonts w:ascii="Arial" w:cs="Arial" w:eastAsia="Arial" w:hAnsi="Arial"/>
          <w:sz w:val="16"/>
          <w:szCs w:val="16"/>
          <w:color w:val="auto"/>
        </w:rPr>
        <w:t>Additionally, as previously disclosed, in June and September 2021, we received two advance payments of $37.5 million each from a customer. We used these proceeds to pay a portion of the remaining amount due under the First Lien Facility Agreement. This payment was applied to the scheduled principal payments due in December 2021 and June 2022 and then the remaining proceeds were applied to the December 2022 principal payment.</w:t>
      </w:r>
    </w:p>
    <w:p>
      <w:pPr>
        <w:spacing w:after="0" w:line="179"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The First Lien Facility Agreement requires that we maintain a debt service reserve account, which is pledged to secure our obligations under the First Lien Facility Agreement. As of September 30, 2021, the balance in the debt service reserve account was $51.1 million and is classified as non-current restricted cash on our condensed consolidated balance sheet consistent with the remaining principal outstanding due December 2022. We currently intend to pay off the remaining principal balance during the fourth quarter of 2021. In connection with the anticipated early pay off, we expect to receive a partial refund of premiums previously paid.</w:t>
      </w:r>
    </w:p>
    <w:p>
      <w:pPr>
        <w:spacing w:after="0" w:line="206"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See Note 5: Long-Term Debt and Other Financing Arrangements to our condensed consolidated financial statements for further discussion of the First Lien Facility Agreement.</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Second Lien Facility Agreement</w:t>
      </w:r>
    </w:p>
    <w:p>
      <w:pPr>
        <w:spacing w:after="0" w:line="249"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In 2019, we entered into a $199.0 million Second Lien Facility Agreement with Thermo, an affiliate of EchoStar Corporation and certain other unaffiliated lenders. The Second Lien Facility Agreement is scheduled to mature in November 2025. The loans under the Second Lien Facility Agreement bear interest at a blended rate of 13.5% per annum to be paid-in-kind (or in cash at our option, subject to restrictions in the Facility Agreement). The cash proceeds from this loan were net of a 3% original issue discount. As of September 30, 2021, the principal amount outstanding under the Second Lien Facility Agreement was $255.0 million.</w:t>
      </w:r>
    </w:p>
    <w:p>
      <w:pPr>
        <w:spacing w:after="0" w:line="206"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As additional consideration for the loan, we issued the lenders warrants to purchase 124.5 million shares of common stock at an exercise price of $0.38 per share. All of these warrants were exercised prior to their expiration on March 31, 2021, resulting in proceeds of $47.3 million.</w:t>
      </w:r>
    </w:p>
    <w:p>
      <w:pPr>
        <w:spacing w:after="0" w:line="184"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The Second Lien Facility Agreement contains customary events of default and requires us to satisfy various financial and non-financial covenants. As of September 30, 2021, we were in compliance with all the covenants of the Second Lien Facility Agreement.</w:t>
      </w: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107" w:right="339" w:bottom="1440" w:gutter="0" w:footer="0" w:header="0"/>
        </w:sectPr>
      </w:pPr>
    </w:p>
    <w:bookmarkStart w:id="32" w:name="page33"/>
    <w:bookmarkEnd w:id="32"/>
    <w:p>
      <w:pPr>
        <w:jc w:val="both"/>
        <w:ind w:firstLine="274"/>
        <w:spacing w:after="0" w:line="288" w:lineRule="auto"/>
        <w:rPr>
          <w:sz w:val="20"/>
          <w:szCs w:val="20"/>
          <w:color w:val="auto"/>
        </w:rPr>
      </w:pPr>
      <w:r>
        <w:rPr>
          <w:rFonts w:ascii="Arial" w:cs="Arial" w:eastAsia="Arial" w:hAnsi="Arial"/>
          <w:sz w:val="17"/>
          <w:szCs w:val="17"/>
          <w:color w:val="auto"/>
        </w:rPr>
        <w:t>See Note 5: Long-Term Debt and Other Financing Arrangements to our condensed consolidated financial statements for further discussion of the Second Lien Facility Agreement.</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8.00% Convertible Senior Notes Issued in 2013</w:t>
      </w:r>
    </w:p>
    <w:p>
      <w:pPr>
        <w:spacing w:after="0" w:line="249" w:lineRule="exact"/>
        <w:rPr>
          <w:sz w:val="20"/>
          <w:szCs w:val="20"/>
          <w:color w:val="auto"/>
        </w:rPr>
      </w:pPr>
    </w:p>
    <w:p>
      <w:pPr>
        <w:jc w:val="both"/>
        <w:ind w:firstLine="274"/>
        <w:spacing w:after="0" w:line="284" w:lineRule="auto"/>
        <w:rPr>
          <w:sz w:val="20"/>
          <w:szCs w:val="20"/>
          <w:color w:val="auto"/>
        </w:rPr>
      </w:pPr>
      <w:r>
        <w:rPr>
          <w:rFonts w:ascii="Arial" w:cs="Arial" w:eastAsia="Arial" w:hAnsi="Arial"/>
          <w:sz w:val="16"/>
          <w:szCs w:val="16"/>
          <w:color w:val="auto"/>
        </w:rPr>
        <w:t>Our 2013 8.00% Notes are convertible into shares of our common stock at a conversion price of $0.69 (as adjusted) per share of common stock. As of September 30, 2021, the principal amount outstanding of the 2013 8.00% Notes was $1.4 million. The 2013 8.00% Notes will mature on April 1, 2028, subject to various call and put features. Interest on the 2013 8.00% Notes is payable semi-annually in arrears on April 1 and October 1 of each year. We pay interest in cash at a rate of 5.75% per annum and by issuing additional 2013 8.00% Notes at a rate of 2.25% per annum. The indenture governing the 2013 8.00% Notes provides for customary events of default. As of September 30, 2021, we were in compliance with the terms of the 2013 8.00% Notes and the Indenture.</w:t>
      </w:r>
    </w:p>
    <w:p>
      <w:pPr>
        <w:spacing w:after="0" w:line="192" w:lineRule="exact"/>
        <w:rPr>
          <w:sz w:val="20"/>
          <w:szCs w:val="20"/>
          <w:color w:val="auto"/>
        </w:rPr>
      </w:pPr>
    </w:p>
    <w:p>
      <w:pPr>
        <w:jc w:val="both"/>
        <w:ind w:firstLine="274"/>
        <w:spacing w:after="0" w:line="288" w:lineRule="auto"/>
        <w:rPr>
          <w:sz w:val="20"/>
          <w:szCs w:val="20"/>
          <w:color w:val="auto"/>
        </w:rPr>
      </w:pPr>
      <w:r>
        <w:rPr>
          <w:rFonts w:ascii="Arial" w:cs="Arial" w:eastAsia="Arial" w:hAnsi="Arial"/>
          <w:sz w:val="17"/>
          <w:szCs w:val="17"/>
          <w:color w:val="auto"/>
        </w:rPr>
        <w:t>See Note 5: Long-Term Debt and Other Financing Arrangements to our condensed consolidated financial statements for further discussion of the 2013 8.00% Notes.</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Paycheck Protection Program Loan</w:t>
      </w:r>
    </w:p>
    <w:p>
      <w:pPr>
        <w:spacing w:after="0" w:line="249"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As previously discussed, we sought relief under the CARES Act, including receiving a $5.0 million loan under the PPP in April 2020 (the "PPP Loan"). In June 2021, the SBA approved our request for forgiveness of all amounts outstanding, including accrued interest. As of September 30, 2021, there was no principal amount or interest outstanding under the PPP Loan.</w:t>
      </w:r>
    </w:p>
    <w:p>
      <w:pPr>
        <w:spacing w:after="0" w:line="198" w:lineRule="exact"/>
        <w:rPr>
          <w:sz w:val="20"/>
          <w:szCs w:val="20"/>
          <w:color w:val="auto"/>
        </w:rPr>
      </w:pPr>
    </w:p>
    <w:p>
      <w:pPr>
        <w:ind w:left="280"/>
        <w:spacing w:after="0"/>
        <w:rPr>
          <w:sz w:val="20"/>
          <w:szCs w:val="20"/>
          <w:color w:val="auto"/>
        </w:rPr>
      </w:pPr>
      <w:r>
        <w:rPr>
          <w:rFonts w:ascii="Arial" w:cs="Arial" w:eastAsia="Arial" w:hAnsi="Arial"/>
          <w:sz w:val="15"/>
          <w:szCs w:val="15"/>
          <w:color w:val="auto"/>
        </w:rPr>
        <w:t>See Note 5: Long-Term Debt and Other Financing Arrangements to our condensed consolidated financial statements for further discussion of the PPP Loan.</w:t>
      </w:r>
    </w:p>
    <w:p>
      <w:pPr>
        <w:spacing w:after="0" w:line="2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Off-Balance Sheet Transactions</w:t>
      </w:r>
    </w:p>
    <w:p>
      <w:pPr>
        <w:spacing w:after="0" w:line="255" w:lineRule="exact"/>
        <w:rPr>
          <w:sz w:val="20"/>
          <w:szCs w:val="20"/>
          <w:color w:val="auto"/>
        </w:rPr>
      </w:pPr>
    </w:p>
    <w:p>
      <w:pPr>
        <w:ind w:left="240"/>
        <w:spacing w:after="0"/>
        <w:rPr>
          <w:sz w:val="20"/>
          <w:szCs w:val="20"/>
          <w:color w:val="auto"/>
        </w:rPr>
      </w:pPr>
      <w:r>
        <w:rPr>
          <w:rFonts w:ascii="Arial" w:cs="Arial" w:eastAsia="Arial" w:hAnsi="Arial"/>
          <w:sz w:val="17"/>
          <w:szCs w:val="17"/>
          <w:color w:val="auto"/>
        </w:rPr>
        <w:t>We have no material off-balance sheet transactions.</w:t>
      </w:r>
    </w:p>
    <w:p>
      <w:pPr>
        <w:spacing w:after="0" w:line="2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Recently Issued Accounting Pronouncements</w:t>
      </w:r>
    </w:p>
    <w:p>
      <w:pPr>
        <w:spacing w:after="0" w:line="255"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 xml:space="preserve">For a discussion of recently issued accounting guidance and the expected impact that the guidance could have on our condensed consolidated financial statements, see </w:t>
      </w:r>
      <w:r>
        <w:rPr>
          <w:rFonts w:ascii="Arial" w:cs="Arial" w:eastAsia="Arial" w:hAnsi="Arial"/>
          <w:sz w:val="17"/>
          <w:szCs w:val="17"/>
          <w:i w:val="1"/>
          <w:iCs w:val="1"/>
          <w:color w:val="auto"/>
        </w:rPr>
        <w:t>Recently Issued Accounting Pronouncements</w:t>
      </w:r>
      <w:r>
        <w:rPr>
          <w:rFonts w:ascii="Arial" w:cs="Arial" w:eastAsia="Arial" w:hAnsi="Arial"/>
          <w:sz w:val="17"/>
          <w:szCs w:val="17"/>
          <w:color w:val="auto"/>
        </w:rPr>
        <w:t xml:space="preserve"> in Note 1: Basis of Presentation to our condensed consolidated financial statements in Part 1, Item 1 of this Report.</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3. Quantitative and Qualitative Disclosures About Market Risk.</w:t>
      </w:r>
    </w:p>
    <w:p>
      <w:pPr>
        <w:spacing w:after="0" w:line="229" w:lineRule="exact"/>
        <w:rPr>
          <w:sz w:val="20"/>
          <w:szCs w:val="20"/>
          <w:color w:val="auto"/>
        </w:rPr>
      </w:pPr>
    </w:p>
    <w:p>
      <w:pPr>
        <w:jc w:val="both"/>
        <w:ind w:firstLine="235"/>
        <w:spacing w:after="0" w:line="261" w:lineRule="auto"/>
        <w:rPr>
          <w:sz w:val="20"/>
          <w:szCs w:val="20"/>
          <w:color w:val="auto"/>
        </w:rPr>
      </w:pPr>
      <w:r>
        <w:rPr>
          <w:rFonts w:ascii="Arial" w:cs="Arial" w:eastAsia="Arial" w:hAnsi="Arial"/>
          <w:sz w:val="17"/>
          <w:szCs w:val="17"/>
          <w:color w:val="auto"/>
        </w:rPr>
        <w:t>Our services and products are sold, distributed or available in over 120 countries. Our international sales are denominated primarily in Canadian dollars, Brazilian reais and euros. In some cases, insufficient supplies of U.S. currency may require us to accept payment in other foreign currencies. We reduce our currency exchange risk from revenues in currencies other than the U.S. dollar by requiring payment in U.S. dollars whenever possible and purchasing foreign currencies on the spot market when rates are favorable. We currently do not purchase hedging instruments to hedge foreign currencies. We are obligated to enter into currency hedges with the lenders to the Facility Agreement no later than 90 days after any fiscal quarter during which more than 25% of revenues is denominated in a single currency other than U.S. or Canadian dollars. Otherwise, we cannot enter into hedging agreements other than interest rate cap agreements or other hedges described above without the consent of the agent for the Facility Agreement, and with that consent the counterparties may only be the lenders to the Facility Agreement.</w:t>
      </w:r>
    </w:p>
    <w:p>
      <w:pPr>
        <w:spacing w:after="0" w:line="207" w:lineRule="exact"/>
        <w:rPr>
          <w:sz w:val="20"/>
          <w:szCs w:val="20"/>
          <w:color w:val="auto"/>
        </w:rPr>
      </w:pPr>
    </w:p>
    <w:p>
      <w:pPr>
        <w:jc w:val="both"/>
        <w:ind w:firstLine="235"/>
        <w:spacing w:after="0" w:line="321" w:lineRule="auto"/>
        <w:rPr>
          <w:sz w:val="20"/>
          <w:szCs w:val="20"/>
          <w:color w:val="auto"/>
        </w:rPr>
      </w:pPr>
      <w:r>
        <w:rPr>
          <w:rFonts w:ascii="Arial" w:cs="Arial" w:eastAsia="Arial" w:hAnsi="Arial"/>
          <w:sz w:val="16"/>
          <w:szCs w:val="16"/>
          <w:color w:val="auto"/>
        </w:rPr>
        <w:t>We also have operations in Argentina, which is considered to have a highly inflationary economy. We continue to monitor the significant uncertainty surrounding current Argentinian exchange mechanisms. Operations in this country are not considered significant to our consolidated operations.</w:t>
      </w:r>
    </w:p>
    <w:p>
      <w:pPr>
        <w:spacing w:after="0" w:line="161"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Our interest rate risk arises from our variable rate debt under our Facility Agreement, under which loans bear interest at a floating rate based on the LIBOR. We have $60.3 million in principal outstanding under the Facility Agreement. A 1.0% change in interest rates would result in a change to interest expense of approximately $0.6 million annually.</w:t>
      </w:r>
    </w:p>
    <w:p>
      <w:pPr>
        <w:spacing w:after="0" w:line="198"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See Note 7: Fair Value Measurements in our condensed consolidated financial statements for discussion of our financial assets and liabilities measured at fair market value and the market factors affecting changes in fair market value of each.</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107" w:right="339" w:bottom="1440" w:gutter="0" w:footer="0" w:header="0"/>
        </w:sectPr>
      </w:pPr>
    </w:p>
    <w:bookmarkStart w:id="33" w:name="page34"/>
    <w:bookmarkEnd w:id="33"/>
    <w:p>
      <w:pPr>
        <w:spacing w:after="0"/>
        <w:rPr>
          <w:sz w:val="20"/>
          <w:szCs w:val="20"/>
          <w:color w:val="auto"/>
        </w:rPr>
      </w:pPr>
      <w:r>
        <w:rPr>
          <w:rFonts w:ascii="Arial" w:cs="Arial" w:eastAsia="Arial" w:hAnsi="Arial"/>
          <w:sz w:val="17"/>
          <w:szCs w:val="17"/>
          <w:b w:val="1"/>
          <w:bCs w:val="1"/>
          <w:color w:val="auto"/>
        </w:rPr>
        <w:t>Item 4. Controls and Procedures.</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(a) Evaluation of disclosure controls and procedures.</w:t>
      </w:r>
    </w:p>
    <w:p>
      <w:pPr>
        <w:spacing w:after="0" w:line="223" w:lineRule="exact"/>
        <w:rPr>
          <w:sz w:val="20"/>
          <w:szCs w:val="20"/>
          <w:color w:val="auto"/>
        </w:rPr>
      </w:pPr>
    </w:p>
    <w:p>
      <w:pPr>
        <w:jc w:val="both"/>
        <w:ind w:firstLine="235"/>
        <w:spacing w:after="0" w:line="307" w:lineRule="auto"/>
        <w:rPr>
          <w:sz w:val="20"/>
          <w:szCs w:val="20"/>
          <w:color w:val="auto"/>
        </w:rPr>
      </w:pPr>
      <w:r>
        <w:rPr>
          <w:rFonts w:ascii="Arial" w:cs="Arial" w:eastAsia="Arial" w:hAnsi="Arial"/>
          <w:sz w:val="15"/>
          <w:szCs w:val="15"/>
          <w:color w:val="auto"/>
        </w:rPr>
        <w:t xml:space="preserve">Our management, with the participation of our Principal Executive Officer and Principal Financial Officer, evaluated the effectiveness of our disclosure controls and procedures pursuant to Rule 13a-15(b) under the Securities Exchange Act of 1934 as of September 30, 2021, the end of the period covered by this Report. This evaluation was based on the guidelines established in </w:t>
      </w:r>
      <w:r>
        <w:rPr>
          <w:rFonts w:ascii="Arial" w:cs="Arial" w:eastAsia="Arial" w:hAnsi="Arial"/>
          <w:sz w:val="15"/>
          <w:szCs w:val="15"/>
          <w:i w:val="1"/>
          <w:iCs w:val="1"/>
          <w:color w:val="auto"/>
        </w:rPr>
        <w:t>Internal Control - Integrated Framework</w:t>
      </w:r>
      <w:r>
        <w:rPr>
          <w:rFonts w:ascii="Arial" w:cs="Arial" w:eastAsia="Arial" w:hAnsi="Arial"/>
          <w:sz w:val="15"/>
          <w:szCs w:val="15"/>
          <w:color w:val="auto"/>
        </w:rPr>
        <w:t xml:space="preserve"> issued in 2013 by the Committee of Sponsoring Organizations of the Treadway Commission (COSO). In designing and evaluating the disclosure controls and procedures, management recognized that any controls and procedures, no matter how well designed and operated, can provide only reasonable assurance of achieving the desired control objectives.</w:t>
      </w:r>
    </w:p>
    <w:p>
      <w:pPr>
        <w:spacing w:after="0" w:line="151"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Based on this evaluation, each of our Principal Executive Officer and Principal Financial Officer concluded that as of September 30, 2021 our disclosure controls and procedures were effective to provide reasonable assurance that information we are required to disclose in reports that we file or submit under the Exchange Act is recorded, processed, summarized and reported within the time periods specified in Securities and Exchange Commission rules and forms, and that such information is accumulated and communicated to our management, including our Principal Executive Officer and Principal Financial Officer, as appropriate, to allow timely decisions regarding required disclosure.</w:t>
      </w:r>
    </w:p>
    <w:p>
      <w:pPr>
        <w:spacing w:after="0" w:line="179"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We believe that the condensed consolidated financial statements included in this Report fairly present, in all material respects, our condensed consolidated financial position and results of operations for the nine months ended September 30, 2021.</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(b) Changes in internal control over financial reporting.</w:t>
      </w:r>
    </w:p>
    <w:p>
      <w:pPr>
        <w:spacing w:after="0" w:line="249" w:lineRule="exact"/>
        <w:rPr>
          <w:sz w:val="20"/>
          <w:szCs w:val="20"/>
          <w:color w:val="auto"/>
        </w:rPr>
      </w:pPr>
    </w:p>
    <w:p>
      <w:pPr>
        <w:jc w:val="both"/>
        <w:ind w:firstLine="235"/>
        <w:spacing w:after="0" w:line="263" w:lineRule="auto"/>
        <w:rPr>
          <w:sz w:val="20"/>
          <w:szCs w:val="20"/>
          <w:color w:val="auto"/>
        </w:rPr>
      </w:pPr>
      <w:r>
        <w:rPr>
          <w:rFonts w:ascii="Arial" w:cs="Arial" w:eastAsia="Arial" w:hAnsi="Arial"/>
          <w:sz w:val="17"/>
          <w:szCs w:val="17"/>
          <w:color w:val="auto"/>
        </w:rPr>
        <w:t>As of September 30, 2021, our management, with the participation of our Principal Executive Officer and Principal Financial Officer, evaluated our internal control over financial reporting. Although our employees continue to follow remote work arrangements caused by COVID-19, these circumstances have not adversely affected the Company's ability to maintain operations, including adequate financial reporting systems, internal control over financial reporting and disclosure controls and procedures. Based on this evaluation, our Principal Executive Officer and Principal Financial Officer concluded that no changes in our internal control over financial reporting occurred during the quarter ended September 30, 2021 have materially affected, or are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34" w:name="page35"/>
    <w:bookmarkEnd w:id="34"/>
    <w:p>
      <w:pPr>
        <w:spacing w:after="0"/>
        <w:rPr>
          <w:sz w:val="20"/>
          <w:szCs w:val="20"/>
          <w:color w:val="auto"/>
        </w:rPr>
      </w:pPr>
      <w:r>
        <w:rPr>
          <w:rFonts w:ascii="Arial" w:cs="Arial" w:eastAsia="Arial" w:hAnsi="Arial"/>
          <w:sz w:val="17"/>
          <w:szCs w:val="17"/>
          <w:b w:val="1"/>
          <w:bCs w:val="1"/>
          <w:color w:val="auto"/>
        </w:rPr>
        <w:t>PART II: OTHER INFORMATION</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1. Legal Proceedings.</w:t>
      </w:r>
    </w:p>
    <w:p>
      <w:pPr>
        <w:spacing w:after="0" w:line="255" w:lineRule="exact"/>
        <w:rPr>
          <w:sz w:val="20"/>
          <w:szCs w:val="20"/>
          <w:color w:val="auto"/>
        </w:rPr>
      </w:pPr>
    </w:p>
    <w:p>
      <w:pPr>
        <w:ind w:left="240"/>
        <w:spacing w:after="0"/>
        <w:rPr>
          <w:sz w:val="20"/>
          <w:szCs w:val="20"/>
          <w:color w:val="auto"/>
        </w:rPr>
      </w:pPr>
      <w:r>
        <w:rPr>
          <w:rFonts w:ascii="Arial" w:cs="Arial" w:eastAsia="Arial" w:hAnsi="Arial"/>
          <w:sz w:val="17"/>
          <w:szCs w:val="17"/>
          <w:color w:val="auto"/>
        </w:rPr>
        <w:t>None.</w:t>
      </w:r>
    </w:p>
    <w:p>
      <w:pPr>
        <w:spacing w:after="0" w:line="2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1A. Risk Factors.</w:t>
      </w:r>
    </w:p>
    <w:p>
      <w:pPr>
        <w:spacing w:after="0" w:line="255"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You should carefully consider the risks described in this Report and all of the other reports that we file from time to time with the SEC, in evaluating and understanding us and our business. Additional risks not presently known or that we currently deem immaterial may also impact our business operations and the risks identified in this Report may adversely affect our business in ways we do not currently anticipate. Our financial condition or results of operations also could be materially adversely affected by any of these risks. There have been no material changes to our risk factors disclosed in Part I. Item 1A. "Risk Factors" of our 2020 Annual Report.</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2. Unregistered Sales of Equity Securities and Use of Proceeds.</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color w:val="auto"/>
        </w:rPr>
        <w:t>Not Applicable</w:t>
      </w:r>
    </w:p>
    <w:p>
      <w:pPr>
        <w:spacing w:after="0" w:line="2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3. Defaults upon Senior Securities.</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color w:val="auto"/>
        </w:rPr>
        <w:t>None</w:t>
      </w:r>
    </w:p>
    <w:p>
      <w:pPr>
        <w:spacing w:after="0" w:line="2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4. Mine Safety Disclosures.</w:t>
      </w:r>
    </w:p>
    <w:p>
      <w:pPr>
        <w:spacing w:after="0" w:line="255"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2040" w:type="dxa"/>
            <w:vAlign w:val="bottom"/>
            <w:gridSpan w:val="2"/>
          </w:tcPr>
          <w:p>
            <w:pPr>
              <w:spacing w:after="0"/>
              <w:rPr>
                <w:sz w:val="20"/>
                <w:szCs w:val="20"/>
                <w:color w:val="auto"/>
              </w:rPr>
            </w:pPr>
            <w:r>
              <w:rPr>
                <w:rFonts w:ascii="Arial" w:cs="Arial" w:eastAsia="Arial" w:hAnsi="Arial"/>
                <w:sz w:val="17"/>
                <w:szCs w:val="17"/>
                <w:color w:val="auto"/>
              </w:rPr>
              <w:t>Not Applicable</w:t>
            </w:r>
          </w:p>
        </w:tc>
        <w:tc>
          <w:tcPr>
            <w:tcW w:w="4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3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44"/>
        </w:trPr>
        <w:tc>
          <w:tcPr>
            <w:tcW w:w="2040" w:type="dxa"/>
            <w:vAlign w:val="bottom"/>
            <w:gridSpan w:val="2"/>
          </w:tcPr>
          <w:p>
            <w:pPr>
              <w:spacing w:after="0"/>
              <w:rPr>
                <w:sz w:val="20"/>
                <w:szCs w:val="20"/>
                <w:color w:val="auto"/>
              </w:rPr>
            </w:pPr>
            <w:r>
              <w:rPr>
                <w:rFonts w:ascii="Arial" w:cs="Arial" w:eastAsia="Arial" w:hAnsi="Arial"/>
                <w:sz w:val="17"/>
                <w:szCs w:val="17"/>
                <w:b w:val="1"/>
                <w:bCs w:val="1"/>
                <w:color w:val="auto"/>
                <w:w w:val="97"/>
              </w:rPr>
              <w:t>Item 5. Other Information.</w:t>
            </w:r>
          </w:p>
        </w:tc>
        <w:tc>
          <w:tcPr>
            <w:tcW w:w="4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4"/>
        </w:trPr>
        <w:tc>
          <w:tcPr>
            <w:tcW w:w="2040" w:type="dxa"/>
            <w:vAlign w:val="bottom"/>
            <w:gridSpan w:val="2"/>
          </w:tcPr>
          <w:p>
            <w:pPr>
              <w:spacing w:after="0"/>
              <w:rPr>
                <w:sz w:val="20"/>
                <w:szCs w:val="20"/>
                <w:color w:val="auto"/>
              </w:rPr>
            </w:pPr>
            <w:r>
              <w:rPr>
                <w:rFonts w:ascii="Arial" w:cs="Arial" w:eastAsia="Arial" w:hAnsi="Arial"/>
                <w:sz w:val="17"/>
                <w:szCs w:val="17"/>
                <w:color w:val="auto"/>
              </w:rPr>
              <w:t>None.</w:t>
            </w:r>
          </w:p>
        </w:tc>
        <w:tc>
          <w:tcPr>
            <w:tcW w:w="4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4"/>
        </w:trPr>
        <w:tc>
          <w:tcPr>
            <w:tcW w:w="2040" w:type="dxa"/>
            <w:vAlign w:val="bottom"/>
            <w:gridSpan w:val="2"/>
          </w:tcPr>
          <w:p>
            <w:pPr>
              <w:spacing w:after="0"/>
              <w:rPr>
                <w:sz w:val="20"/>
                <w:szCs w:val="20"/>
                <w:color w:val="auto"/>
              </w:rPr>
            </w:pPr>
            <w:r>
              <w:rPr>
                <w:rFonts w:ascii="Arial" w:cs="Arial" w:eastAsia="Arial" w:hAnsi="Arial"/>
                <w:sz w:val="17"/>
                <w:szCs w:val="17"/>
                <w:b w:val="1"/>
                <w:bCs w:val="1"/>
                <w:color w:val="auto"/>
              </w:rPr>
              <w:t>Item 6. Exhibits.</w:t>
            </w:r>
          </w:p>
        </w:tc>
        <w:tc>
          <w:tcPr>
            <w:tcW w:w="4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97"/>
        </w:trPr>
        <w:tc>
          <w:tcPr>
            <w:tcW w:w="480" w:type="dxa"/>
            <w:vAlign w:val="bottom"/>
          </w:tcPr>
          <w:p>
            <w:pPr>
              <w:spacing w:after="0"/>
              <w:rPr>
                <w:sz w:val="24"/>
                <w:szCs w:val="24"/>
                <w:color w:val="auto"/>
              </w:rPr>
            </w:pPr>
          </w:p>
        </w:tc>
        <w:tc>
          <w:tcPr>
            <w:tcW w:w="1560" w:type="dxa"/>
            <w:vAlign w:val="bottom"/>
          </w:tcPr>
          <w:p>
            <w:pPr>
              <w:ind w:left="480"/>
              <w:spacing w:after="0"/>
              <w:rPr>
                <w:sz w:val="20"/>
                <w:szCs w:val="20"/>
                <w:color w:val="auto"/>
              </w:rPr>
            </w:pPr>
            <w:r>
              <w:rPr>
                <w:rFonts w:ascii="Arial" w:cs="Arial" w:eastAsia="Arial" w:hAnsi="Arial"/>
                <w:sz w:val="17"/>
                <w:szCs w:val="17"/>
                <w:b w:val="1"/>
                <w:bCs w:val="1"/>
                <w:color w:val="auto"/>
              </w:rPr>
              <w:t>Exhibit</w:t>
            </w:r>
          </w:p>
        </w:tc>
        <w:tc>
          <w:tcPr>
            <w:tcW w:w="480" w:type="dxa"/>
            <w:vAlign w:val="bottom"/>
          </w:tcPr>
          <w:p>
            <w:pPr>
              <w:spacing w:after="0"/>
              <w:rPr>
                <w:sz w:val="24"/>
                <w:szCs w:val="24"/>
                <w:color w:val="auto"/>
              </w:rPr>
            </w:pPr>
          </w:p>
        </w:tc>
        <w:tc>
          <w:tcPr>
            <w:tcW w:w="8640" w:type="dxa"/>
            <w:vAlign w:val="bottom"/>
            <w:gridSpan w:val="6"/>
            <w:vMerge w:val="restart"/>
          </w:tcPr>
          <w:p>
            <w:pPr>
              <w:spacing w:after="0"/>
              <w:rPr>
                <w:sz w:val="20"/>
                <w:szCs w:val="20"/>
                <w:color w:val="auto"/>
              </w:rPr>
            </w:pPr>
            <w:r>
              <w:rPr>
                <w:rFonts w:ascii="Arial" w:cs="Arial" w:eastAsia="Arial" w:hAnsi="Arial"/>
                <w:sz w:val="17"/>
                <w:szCs w:val="17"/>
                <w:b w:val="1"/>
                <w:bCs w:val="1"/>
                <w:color w:val="auto"/>
              </w:rPr>
              <w:t>Description</w:t>
            </w:r>
          </w:p>
        </w:tc>
        <w:tc>
          <w:tcPr>
            <w:tcW w:w="0" w:type="dxa"/>
            <w:vAlign w:val="bottom"/>
          </w:tcPr>
          <w:p>
            <w:pPr>
              <w:spacing w:after="0"/>
              <w:rPr>
                <w:sz w:val="1"/>
                <w:szCs w:val="1"/>
                <w:color w:val="auto"/>
              </w:rPr>
            </w:pPr>
          </w:p>
        </w:tc>
      </w:tr>
      <w:tr>
        <w:trPr>
          <w:trHeight w:val="222"/>
        </w:trPr>
        <w:tc>
          <w:tcPr>
            <w:tcW w:w="480" w:type="dxa"/>
            <w:vAlign w:val="bottom"/>
          </w:tcPr>
          <w:p>
            <w:pPr>
              <w:spacing w:after="0"/>
              <w:rPr>
                <w:sz w:val="19"/>
                <w:szCs w:val="19"/>
                <w:color w:val="auto"/>
              </w:rPr>
            </w:pPr>
          </w:p>
        </w:tc>
        <w:tc>
          <w:tcPr>
            <w:tcW w:w="1560" w:type="dxa"/>
            <w:vAlign w:val="bottom"/>
            <w:tcBorders>
              <w:bottom w:val="single" w:sz="8" w:color="auto"/>
            </w:tcBorders>
          </w:tcPr>
          <w:p>
            <w:pPr>
              <w:ind w:left="20"/>
              <w:spacing w:after="0"/>
              <w:rPr>
                <w:sz w:val="20"/>
                <w:szCs w:val="20"/>
                <w:color w:val="auto"/>
              </w:rPr>
            </w:pPr>
            <w:r>
              <w:rPr>
                <w:rFonts w:ascii="Arial" w:cs="Arial" w:eastAsia="Arial" w:hAnsi="Arial"/>
                <w:sz w:val="17"/>
                <w:szCs w:val="17"/>
                <w:b w:val="1"/>
                <w:bCs w:val="1"/>
                <w:color w:val="auto"/>
              </w:rPr>
              <w:t>Number</w:t>
            </w:r>
          </w:p>
        </w:tc>
        <w:tc>
          <w:tcPr>
            <w:tcW w:w="480" w:type="dxa"/>
            <w:vAlign w:val="bottom"/>
          </w:tcPr>
          <w:p>
            <w:pPr>
              <w:spacing w:after="0"/>
              <w:rPr>
                <w:sz w:val="19"/>
                <w:szCs w:val="19"/>
                <w:color w:val="auto"/>
              </w:rPr>
            </w:pPr>
          </w:p>
        </w:tc>
        <w:tc>
          <w:tcPr>
            <w:tcW w:w="8640" w:type="dxa"/>
            <w:vAlign w:val="bottom"/>
            <w:gridSpan w:val="6"/>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2040" w:type="dxa"/>
            <w:vAlign w:val="bottom"/>
            <w:gridSpan w:val="2"/>
          </w:tcPr>
          <w:p>
            <w:pPr>
              <w:ind w:left="960"/>
              <w:spacing w:after="0" w:line="176" w:lineRule="exact"/>
              <w:rPr>
                <w:sz w:val="20"/>
                <w:szCs w:val="20"/>
                <w:color w:val="auto"/>
              </w:rPr>
            </w:pPr>
            <w:r>
              <w:rPr>
                <w:rFonts w:ascii="Arial" w:cs="Arial" w:eastAsia="Arial" w:hAnsi="Arial"/>
                <w:sz w:val="17"/>
                <w:szCs w:val="17"/>
                <w:color w:val="auto"/>
              </w:rPr>
              <w:t>3.1*</w:t>
            </w:r>
          </w:p>
        </w:tc>
        <w:tc>
          <w:tcPr>
            <w:tcW w:w="480" w:type="dxa"/>
            <w:vAlign w:val="bottom"/>
          </w:tcPr>
          <w:p>
            <w:pPr>
              <w:spacing w:after="0"/>
              <w:rPr>
                <w:sz w:val="15"/>
                <w:szCs w:val="15"/>
                <w:color w:val="auto"/>
              </w:rPr>
            </w:pPr>
          </w:p>
        </w:tc>
        <w:tc>
          <w:tcPr>
            <w:tcW w:w="8640" w:type="dxa"/>
            <w:vAlign w:val="bottom"/>
            <w:tcBorders>
              <w:bottom w:val="single" w:sz="8" w:color="0000FF"/>
            </w:tcBorders>
            <w:gridSpan w:val="6"/>
          </w:tcPr>
          <w:p>
            <w:pPr>
              <w:spacing w:after="0" w:line="176" w:lineRule="exact"/>
              <w:rPr>
                <w:rFonts w:ascii="Arial" w:cs="Arial" w:eastAsia="Arial" w:hAnsi="Arial"/>
                <w:sz w:val="17"/>
                <w:szCs w:val="17"/>
                <w:color w:val="0000FF"/>
                <w:w w:val="95"/>
              </w:rPr>
            </w:pPr>
            <w:hyperlink r:id="rId43">
              <w:r>
                <w:rPr>
                  <w:rFonts w:ascii="Arial" w:cs="Arial" w:eastAsia="Arial" w:hAnsi="Arial"/>
                  <w:sz w:val="17"/>
                  <w:szCs w:val="17"/>
                  <w:color w:val="0000FF"/>
                  <w:w w:val="95"/>
                </w:rPr>
                <w:t>Third Amended and Restated Certificate of Incorporation of Globalstar, Inc. (Appendix A to DEF 14A filed April 12, 2021)</w:t>
              </w:r>
            </w:hyperlink>
          </w:p>
        </w:tc>
        <w:tc>
          <w:tcPr>
            <w:tcW w:w="0" w:type="dxa"/>
            <w:vAlign w:val="bottom"/>
          </w:tcPr>
          <w:p>
            <w:pPr>
              <w:spacing w:after="0"/>
              <w:rPr>
                <w:sz w:val="1"/>
                <w:szCs w:val="1"/>
                <w:color w:val="auto"/>
              </w:rPr>
            </w:pPr>
          </w:p>
        </w:tc>
      </w:tr>
      <w:tr>
        <w:trPr>
          <w:trHeight w:val="202"/>
        </w:trPr>
        <w:tc>
          <w:tcPr>
            <w:tcW w:w="2040" w:type="dxa"/>
            <w:vAlign w:val="bottom"/>
            <w:gridSpan w:val="2"/>
          </w:tcPr>
          <w:p>
            <w:pPr>
              <w:ind w:left="960"/>
              <w:spacing w:after="0"/>
              <w:rPr>
                <w:sz w:val="20"/>
                <w:szCs w:val="20"/>
                <w:color w:val="auto"/>
              </w:rPr>
            </w:pPr>
            <w:r>
              <w:rPr>
                <w:rFonts w:ascii="Arial" w:cs="Arial" w:eastAsia="Arial" w:hAnsi="Arial"/>
                <w:sz w:val="17"/>
                <w:szCs w:val="17"/>
                <w:color w:val="auto"/>
              </w:rPr>
              <w:t>3.2*</w:t>
            </w:r>
          </w:p>
        </w:tc>
        <w:tc>
          <w:tcPr>
            <w:tcW w:w="480" w:type="dxa"/>
            <w:vAlign w:val="bottom"/>
          </w:tcPr>
          <w:p>
            <w:pPr>
              <w:spacing w:after="0"/>
              <w:rPr>
                <w:sz w:val="17"/>
                <w:szCs w:val="17"/>
                <w:color w:val="auto"/>
              </w:rPr>
            </w:pPr>
          </w:p>
        </w:tc>
        <w:tc>
          <w:tcPr>
            <w:tcW w:w="8640" w:type="dxa"/>
            <w:vAlign w:val="bottom"/>
            <w:gridSpan w:val="6"/>
          </w:tcPr>
          <w:p>
            <w:pPr>
              <w:spacing w:after="0"/>
              <w:rPr>
                <w:rFonts w:ascii="Arial" w:cs="Arial" w:eastAsia="Arial" w:hAnsi="Arial"/>
                <w:sz w:val="17"/>
                <w:szCs w:val="17"/>
                <w:color w:val="0000FF"/>
              </w:rPr>
            </w:pPr>
            <w:hyperlink r:id="rId44">
              <w:r>
                <w:rPr>
                  <w:rFonts w:ascii="Arial" w:cs="Arial" w:eastAsia="Arial" w:hAnsi="Arial"/>
                  <w:sz w:val="17"/>
                  <w:szCs w:val="17"/>
                  <w:color w:val="0000FF"/>
                </w:rPr>
                <w:t>Fourth Amended and Restated Bylaws of Globalstar, Inc. (Exhibit 3.1 to Form 8-K filed on April 15, 2019)</w:t>
              </w:r>
            </w:hyperlink>
          </w:p>
        </w:tc>
        <w:tc>
          <w:tcPr>
            <w:tcW w:w="0" w:type="dxa"/>
            <w:vAlign w:val="bottom"/>
          </w:tcPr>
          <w:p>
            <w:pPr>
              <w:spacing w:after="0"/>
              <w:rPr>
                <w:sz w:val="1"/>
                <w:szCs w:val="1"/>
                <w:color w:val="auto"/>
              </w:rPr>
            </w:pPr>
          </w:p>
        </w:tc>
      </w:tr>
      <w:tr>
        <w:trPr>
          <w:trHeight w:val="202"/>
        </w:trPr>
        <w:tc>
          <w:tcPr>
            <w:tcW w:w="2040" w:type="dxa"/>
            <w:vAlign w:val="bottom"/>
            <w:gridSpan w:val="2"/>
          </w:tcPr>
          <w:p>
            <w:pPr>
              <w:ind w:left="960"/>
              <w:spacing w:after="0"/>
              <w:rPr>
                <w:sz w:val="20"/>
                <w:szCs w:val="20"/>
                <w:color w:val="auto"/>
              </w:rPr>
            </w:pPr>
            <w:r>
              <w:rPr>
                <w:rFonts w:ascii="Arial" w:cs="Arial" w:eastAsia="Arial" w:hAnsi="Arial"/>
                <w:sz w:val="17"/>
                <w:szCs w:val="17"/>
                <w:color w:val="auto"/>
              </w:rPr>
              <w:t>31.1</w:t>
            </w:r>
          </w:p>
        </w:tc>
        <w:tc>
          <w:tcPr>
            <w:tcW w:w="480" w:type="dxa"/>
            <w:vAlign w:val="bottom"/>
          </w:tcPr>
          <w:p>
            <w:pPr>
              <w:spacing w:after="0"/>
              <w:rPr>
                <w:sz w:val="17"/>
                <w:szCs w:val="17"/>
                <w:color w:val="auto"/>
              </w:rPr>
            </w:pPr>
          </w:p>
        </w:tc>
        <w:tc>
          <w:tcPr>
            <w:tcW w:w="840" w:type="dxa"/>
            <w:vAlign w:val="bottom"/>
            <w:tcBorders>
              <w:top w:val="single" w:sz="8" w:color="0000FF"/>
            </w:tcBorders>
          </w:tcPr>
          <w:p>
            <w:pPr>
              <w:spacing w:after="0"/>
              <w:rPr>
                <w:rFonts w:ascii="Arial" w:cs="Arial" w:eastAsia="Arial" w:hAnsi="Arial"/>
                <w:sz w:val="17"/>
                <w:szCs w:val="17"/>
                <w:color w:val="0000FF"/>
                <w:w w:val="91"/>
              </w:rPr>
            </w:pPr>
            <w:hyperlink w:anchor="page37">
              <w:r>
                <w:rPr>
                  <w:rFonts w:ascii="Arial" w:cs="Arial" w:eastAsia="Arial" w:hAnsi="Arial"/>
                  <w:sz w:val="17"/>
                  <w:szCs w:val="17"/>
                  <w:color w:val="0000FF"/>
                  <w:w w:val="91"/>
                </w:rPr>
                <w:t>Section 302</w:t>
              </w:r>
            </w:hyperlink>
          </w:p>
        </w:tc>
        <w:tc>
          <w:tcPr>
            <w:tcW w:w="6640" w:type="dxa"/>
            <w:vAlign w:val="bottom"/>
            <w:tcBorders>
              <w:top w:val="single" w:sz="8" w:color="0000FF"/>
            </w:tcBorders>
            <w:gridSpan w:val="4"/>
          </w:tcPr>
          <w:p>
            <w:pPr>
              <w:ind w:left="20"/>
              <w:spacing w:after="0"/>
              <w:rPr>
                <w:rFonts w:ascii="Arial" w:cs="Arial" w:eastAsia="Arial" w:hAnsi="Arial"/>
                <w:sz w:val="17"/>
                <w:szCs w:val="17"/>
                <w:color w:val="0000FF"/>
              </w:rPr>
            </w:pPr>
            <w:hyperlink w:anchor="page37">
              <w:r>
                <w:rPr>
                  <w:rFonts w:ascii="Arial" w:cs="Arial" w:eastAsia="Arial" w:hAnsi="Arial"/>
                  <w:sz w:val="17"/>
                  <w:szCs w:val="17"/>
                  <w:color w:val="0000FF"/>
                </w:rPr>
                <w:t>Certification of the Principal Executive Officer</w:t>
              </w:r>
            </w:hyperlink>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2040" w:type="dxa"/>
            <w:vAlign w:val="bottom"/>
            <w:gridSpan w:val="2"/>
          </w:tcPr>
          <w:p>
            <w:pPr>
              <w:ind w:left="960"/>
              <w:spacing w:after="0"/>
              <w:rPr>
                <w:sz w:val="20"/>
                <w:szCs w:val="20"/>
                <w:color w:val="auto"/>
              </w:rPr>
            </w:pPr>
            <w:r>
              <w:rPr>
                <w:rFonts w:ascii="Arial" w:cs="Arial" w:eastAsia="Arial" w:hAnsi="Arial"/>
                <w:sz w:val="17"/>
                <w:szCs w:val="17"/>
                <w:color w:val="auto"/>
              </w:rPr>
              <w:t>31.2</w:t>
            </w:r>
          </w:p>
        </w:tc>
        <w:tc>
          <w:tcPr>
            <w:tcW w:w="480" w:type="dxa"/>
            <w:vAlign w:val="bottom"/>
          </w:tcPr>
          <w:p>
            <w:pPr>
              <w:spacing w:after="0"/>
              <w:rPr>
                <w:sz w:val="17"/>
                <w:szCs w:val="17"/>
                <w:color w:val="auto"/>
              </w:rPr>
            </w:pPr>
          </w:p>
        </w:tc>
        <w:tc>
          <w:tcPr>
            <w:tcW w:w="840" w:type="dxa"/>
            <w:vAlign w:val="bottom"/>
            <w:tcBorders>
              <w:top w:val="single" w:sz="8" w:color="0000FF"/>
              <w:bottom w:val="single" w:sz="8" w:color="0000FF"/>
            </w:tcBorders>
          </w:tcPr>
          <w:p>
            <w:pPr>
              <w:spacing w:after="0"/>
              <w:rPr>
                <w:rFonts w:ascii="Arial" w:cs="Arial" w:eastAsia="Arial" w:hAnsi="Arial"/>
                <w:sz w:val="17"/>
                <w:szCs w:val="17"/>
                <w:color w:val="0000FF"/>
                <w:w w:val="91"/>
              </w:rPr>
            </w:pPr>
            <w:hyperlink w:anchor="page38">
              <w:r>
                <w:rPr>
                  <w:rFonts w:ascii="Arial" w:cs="Arial" w:eastAsia="Arial" w:hAnsi="Arial"/>
                  <w:sz w:val="17"/>
                  <w:szCs w:val="17"/>
                  <w:color w:val="0000FF"/>
                  <w:w w:val="91"/>
                </w:rPr>
                <w:t>Section 302</w:t>
              </w:r>
            </w:hyperlink>
          </w:p>
        </w:tc>
        <w:tc>
          <w:tcPr>
            <w:tcW w:w="3280" w:type="dxa"/>
            <w:vAlign w:val="bottom"/>
            <w:tcBorders>
              <w:top w:val="single" w:sz="8" w:color="0000FF"/>
              <w:bottom w:val="single" w:sz="8" w:color="0000FF"/>
            </w:tcBorders>
            <w:gridSpan w:val="2"/>
          </w:tcPr>
          <w:p>
            <w:pPr>
              <w:ind w:left="20"/>
              <w:spacing w:after="0"/>
              <w:rPr>
                <w:rFonts w:ascii="Arial" w:cs="Arial" w:eastAsia="Arial" w:hAnsi="Arial"/>
                <w:sz w:val="17"/>
                <w:szCs w:val="17"/>
                <w:color w:val="0000FF"/>
                <w:w w:val="96"/>
              </w:rPr>
            </w:pPr>
            <w:hyperlink w:anchor="page38">
              <w:r>
                <w:rPr>
                  <w:rFonts w:ascii="Arial" w:cs="Arial" w:eastAsia="Arial" w:hAnsi="Arial"/>
                  <w:sz w:val="17"/>
                  <w:szCs w:val="17"/>
                  <w:color w:val="0000FF"/>
                  <w:w w:val="96"/>
                </w:rPr>
                <w:t>Certification of the Principal Financial Officer</w:t>
              </w:r>
            </w:hyperlink>
          </w:p>
        </w:tc>
        <w:tc>
          <w:tcPr>
            <w:tcW w:w="20" w:type="dxa"/>
            <w:vAlign w:val="bottom"/>
            <w:tcBorders>
              <w:top w:val="single" w:sz="8" w:color="0000FF"/>
            </w:tcBorders>
          </w:tcPr>
          <w:p>
            <w:pPr>
              <w:spacing w:after="0"/>
              <w:rPr>
                <w:sz w:val="17"/>
                <w:szCs w:val="17"/>
                <w:color w:val="auto"/>
              </w:rPr>
            </w:pPr>
          </w:p>
        </w:tc>
        <w:tc>
          <w:tcPr>
            <w:tcW w:w="45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2040" w:type="dxa"/>
            <w:vAlign w:val="bottom"/>
            <w:gridSpan w:val="2"/>
          </w:tcPr>
          <w:p>
            <w:pPr>
              <w:ind w:left="960"/>
              <w:spacing w:after="0"/>
              <w:rPr>
                <w:sz w:val="20"/>
                <w:szCs w:val="20"/>
                <w:color w:val="auto"/>
              </w:rPr>
            </w:pPr>
            <w:r>
              <w:rPr>
                <w:rFonts w:ascii="Arial" w:cs="Arial" w:eastAsia="Arial" w:hAnsi="Arial"/>
                <w:sz w:val="17"/>
                <w:szCs w:val="17"/>
                <w:color w:val="auto"/>
              </w:rPr>
              <w:t>32.1</w:t>
            </w:r>
          </w:p>
        </w:tc>
        <w:tc>
          <w:tcPr>
            <w:tcW w:w="480" w:type="dxa"/>
            <w:vAlign w:val="bottom"/>
          </w:tcPr>
          <w:p>
            <w:pPr>
              <w:spacing w:after="0"/>
              <w:rPr>
                <w:sz w:val="17"/>
                <w:szCs w:val="17"/>
                <w:color w:val="auto"/>
              </w:rPr>
            </w:pPr>
          </w:p>
        </w:tc>
        <w:tc>
          <w:tcPr>
            <w:tcW w:w="840" w:type="dxa"/>
            <w:vAlign w:val="bottom"/>
          </w:tcPr>
          <w:p>
            <w:pPr>
              <w:spacing w:after="0"/>
              <w:rPr>
                <w:rFonts w:ascii="Arial" w:cs="Arial" w:eastAsia="Arial" w:hAnsi="Arial"/>
                <w:sz w:val="17"/>
                <w:szCs w:val="17"/>
                <w:color w:val="0000FF"/>
                <w:w w:val="91"/>
              </w:rPr>
            </w:pPr>
            <w:hyperlink w:anchor="page39">
              <w:r>
                <w:rPr>
                  <w:rFonts w:ascii="Arial" w:cs="Arial" w:eastAsia="Arial" w:hAnsi="Arial"/>
                  <w:sz w:val="17"/>
                  <w:szCs w:val="17"/>
                  <w:color w:val="0000FF"/>
                  <w:w w:val="91"/>
                </w:rPr>
                <w:t>Section 906</w:t>
              </w:r>
            </w:hyperlink>
          </w:p>
        </w:tc>
        <w:tc>
          <w:tcPr>
            <w:tcW w:w="7800" w:type="dxa"/>
            <w:vAlign w:val="bottom"/>
            <w:gridSpan w:val="5"/>
          </w:tcPr>
          <w:p>
            <w:pPr>
              <w:ind w:left="20"/>
              <w:spacing w:after="0"/>
              <w:rPr>
                <w:rFonts w:ascii="Arial" w:cs="Arial" w:eastAsia="Arial" w:hAnsi="Arial"/>
                <w:sz w:val="17"/>
                <w:szCs w:val="17"/>
                <w:color w:val="0000FF"/>
              </w:rPr>
            </w:pPr>
            <w:hyperlink w:anchor="page39">
              <w:r>
                <w:rPr>
                  <w:rFonts w:ascii="Arial" w:cs="Arial" w:eastAsia="Arial" w:hAnsi="Arial"/>
                  <w:sz w:val="17"/>
                  <w:szCs w:val="17"/>
                  <w:color w:val="0000FF"/>
                </w:rPr>
                <w:t>Certification of the Principal Executive Officer</w:t>
              </w:r>
            </w:hyperlink>
          </w:p>
        </w:tc>
        <w:tc>
          <w:tcPr>
            <w:tcW w:w="0" w:type="dxa"/>
            <w:vAlign w:val="bottom"/>
          </w:tcPr>
          <w:p>
            <w:pPr>
              <w:spacing w:after="0"/>
              <w:rPr>
                <w:sz w:val="1"/>
                <w:szCs w:val="1"/>
                <w:color w:val="auto"/>
              </w:rPr>
            </w:pPr>
          </w:p>
        </w:tc>
      </w:tr>
      <w:tr>
        <w:trPr>
          <w:trHeight w:val="202"/>
        </w:trPr>
        <w:tc>
          <w:tcPr>
            <w:tcW w:w="2040" w:type="dxa"/>
            <w:vAlign w:val="bottom"/>
            <w:gridSpan w:val="2"/>
          </w:tcPr>
          <w:p>
            <w:pPr>
              <w:ind w:left="960"/>
              <w:spacing w:after="0"/>
              <w:rPr>
                <w:sz w:val="20"/>
                <w:szCs w:val="20"/>
                <w:color w:val="auto"/>
              </w:rPr>
            </w:pPr>
            <w:r>
              <w:rPr>
                <w:rFonts w:ascii="Arial" w:cs="Arial" w:eastAsia="Arial" w:hAnsi="Arial"/>
                <w:sz w:val="17"/>
                <w:szCs w:val="17"/>
                <w:color w:val="auto"/>
              </w:rPr>
              <w:t>32.2</w:t>
            </w:r>
          </w:p>
        </w:tc>
        <w:tc>
          <w:tcPr>
            <w:tcW w:w="480" w:type="dxa"/>
            <w:vAlign w:val="bottom"/>
          </w:tcPr>
          <w:p>
            <w:pPr>
              <w:spacing w:after="0"/>
              <w:rPr>
                <w:sz w:val="17"/>
                <w:szCs w:val="17"/>
                <w:color w:val="auto"/>
              </w:rPr>
            </w:pPr>
          </w:p>
        </w:tc>
        <w:tc>
          <w:tcPr>
            <w:tcW w:w="840" w:type="dxa"/>
            <w:vAlign w:val="bottom"/>
            <w:tcBorders>
              <w:top w:val="single" w:sz="8" w:color="0000FF"/>
            </w:tcBorders>
          </w:tcPr>
          <w:p>
            <w:pPr>
              <w:spacing w:after="0"/>
              <w:rPr>
                <w:rFonts w:ascii="Arial" w:cs="Arial" w:eastAsia="Arial" w:hAnsi="Arial"/>
                <w:sz w:val="17"/>
                <w:szCs w:val="17"/>
                <w:color w:val="0000FF"/>
                <w:w w:val="91"/>
              </w:rPr>
            </w:pPr>
            <w:hyperlink w:anchor="page40">
              <w:r>
                <w:rPr>
                  <w:rFonts w:ascii="Arial" w:cs="Arial" w:eastAsia="Arial" w:hAnsi="Arial"/>
                  <w:sz w:val="17"/>
                  <w:szCs w:val="17"/>
                  <w:color w:val="0000FF"/>
                  <w:w w:val="91"/>
                </w:rPr>
                <w:t>Section 906</w:t>
              </w:r>
            </w:hyperlink>
          </w:p>
        </w:tc>
        <w:tc>
          <w:tcPr>
            <w:tcW w:w="3300" w:type="dxa"/>
            <w:vAlign w:val="bottom"/>
            <w:tcBorders>
              <w:top w:val="single" w:sz="8" w:color="0000FF"/>
            </w:tcBorders>
            <w:gridSpan w:val="3"/>
          </w:tcPr>
          <w:p>
            <w:pPr>
              <w:ind w:left="20"/>
              <w:spacing w:after="0"/>
              <w:rPr>
                <w:rFonts w:ascii="Arial" w:cs="Arial" w:eastAsia="Arial" w:hAnsi="Arial"/>
                <w:sz w:val="17"/>
                <w:szCs w:val="17"/>
                <w:color w:val="0000FF"/>
                <w:w w:val="97"/>
              </w:rPr>
            </w:pPr>
            <w:hyperlink w:anchor="page40">
              <w:r>
                <w:rPr>
                  <w:rFonts w:ascii="Arial" w:cs="Arial" w:eastAsia="Arial" w:hAnsi="Arial"/>
                  <w:sz w:val="17"/>
                  <w:szCs w:val="17"/>
                  <w:color w:val="0000FF"/>
                  <w:w w:val="97"/>
                </w:rPr>
                <w:t>Certification of the Principal Financial Officer</w:t>
              </w:r>
            </w:hyperlink>
          </w:p>
        </w:tc>
        <w:tc>
          <w:tcPr>
            <w:tcW w:w="45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241"/>
        </w:trPr>
        <w:tc>
          <w:tcPr>
            <w:tcW w:w="480" w:type="dxa"/>
            <w:vAlign w:val="bottom"/>
          </w:tcPr>
          <w:p>
            <w:pPr>
              <w:spacing w:after="0"/>
              <w:rPr>
                <w:sz w:val="20"/>
                <w:szCs w:val="20"/>
                <w:color w:val="auto"/>
              </w:rPr>
            </w:pPr>
          </w:p>
        </w:tc>
        <w:tc>
          <w:tcPr>
            <w:tcW w:w="1560" w:type="dxa"/>
            <w:vAlign w:val="bottom"/>
          </w:tcPr>
          <w:p>
            <w:pPr>
              <w:ind w:left="480"/>
              <w:spacing w:after="0"/>
              <w:rPr>
                <w:sz w:val="20"/>
                <w:szCs w:val="20"/>
                <w:color w:val="auto"/>
              </w:rPr>
            </w:pPr>
            <w:r>
              <w:rPr>
                <w:rFonts w:ascii="Arial" w:cs="Arial" w:eastAsia="Arial" w:hAnsi="Arial"/>
                <w:sz w:val="17"/>
                <w:szCs w:val="17"/>
                <w:color w:val="auto"/>
              </w:rPr>
              <w:t>101.INS</w:t>
            </w:r>
          </w:p>
        </w:tc>
        <w:tc>
          <w:tcPr>
            <w:tcW w:w="480" w:type="dxa"/>
            <w:vAlign w:val="bottom"/>
          </w:tcPr>
          <w:p>
            <w:pPr>
              <w:spacing w:after="0"/>
              <w:rPr>
                <w:sz w:val="20"/>
                <w:szCs w:val="20"/>
                <w:color w:val="auto"/>
              </w:rPr>
            </w:pPr>
          </w:p>
        </w:tc>
        <w:tc>
          <w:tcPr>
            <w:tcW w:w="4100" w:type="dxa"/>
            <w:vAlign w:val="bottom"/>
            <w:tcBorders>
              <w:top w:val="single" w:sz="8" w:color="0000FF"/>
            </w:tcBorders>
            <w:gridSpan w:val="2"/>
          </w:tcPr>
          <w:p>
            <w:pPr>
              <w:spacing w:after="0"/>
              <w:rPr>
                <w:sz w:val="20"/>
                <w:szCs w:val="20"/>
                <w:color w:val="auto"/>
              </w:rPr>
            </w:pPr>
            <w:r>
              <w:rPr>
                <w:rFonts w:ascii="Arial" w:cs="Arial" w:eastAsia="Arial" w:hAnsi="Arial"/>
                <w:sz w:val="17"/>
                <w:szCs w:val="17"/>
                <w:color w:val="auto"/>
              </w:rPr>
              <w:t>XBRL Instance Document</w:t>
            </w:r>
          </w:p>
        </w:tc>
        <w:tc>
          <w:tcPr>
            <w:tcW w:w="4540" w:type="dxa"/>
            <w:vAlign w:val="bottom"/>
            <w:gridSpan w:val="4"/>
          </w:tcPr>
          <w:p>
            <w:pPr>
              <w:spacing w:after="0"/>
              <w:rPr>
                <w:sz w:val="20"/>
                <w:szCs w:val="20"/>
                <w:color w:val="auto"/>
              </w:rPr>
            </w:pPr>
          </w:p>
        </w:tc>
        <w:tc>
          <w:tcPr>
            <w:tcW w:w="0" w:type="dxa"/>
            <w:vAlign w:val="bottom"/>
          </w:tcPr>
          <w:p>
            <w:pPr>
              <w:spacing w:after="0"/>
              <w:rPr>
                <w:sz w:val="1"/>
                <w:szCs w:val="1"/>
                <w:color w:val="auto"/>
              </w:rPr>
            </w:pPr>
          </w:p>
        </w:tc>
      </w:tr>
      <w:tr>
        <w:trPr>
          <w:trHeight w:val="222"/>
        </w:trPr>
        <w:tc>
          <w:tcPr>
            <w:tcW w:w="480" w:type="dxa"/>
            <w:vAlign w:val="bottom"/>
          </w:tcPr>
          <w:p>
            <w:pPr>
              <w:spacing w:after="0"/>
              <w:rPr>
                <w:sz w:val="19"/>
                <w:szCs w:val="19"/>
                <w:color w:val="auto"/>
              </w:rPr>
            </w:pPr>
          </w:p>
        </w:tc>
        <w:tc>
          <w:tcPr>
            <w:tcW w:w="1560" w:type="dxa"/>
            <w:vAlign w:val="bottom"/>
          </w:tcPr>
          <w:p>
            <w:pPr>
              <w:ind w:left="480"/>
              <w:spacing w:after="0"/>
              <w:rPr>
                <w:sz w:val="20"/>
                <w:szCs w:val="20"/>
                <w:color w:val="auto"/>
              </w:rPr>
            </w:pPr>
            <w:r>
              <w:rPr>
                <w:rFonts w:ascii="Arial" w:cs="Arial" w:eastAsia="Arial" w:hAnsi="Arial"/>
                <w:sz w:val="17"/>
                <w:szCs w:val="17"/>
                <w:color w:val="auto"/>
              </w:rPr>
              <w:t>101.CAL</w:t>
            </w:r>
          </w:p>
        </w:tc>
        <w:tc>
          <w:tcPr>
            <w:tcW w:w="480" w:type="dxa"/>
            <w:vAlign w:val="bottom"/>
          </w:tcPr>
          <w:p>
            <w:pPr>
              <w:spacing w:after="0"/>
              <w:rPr>
                <w:sz w:val="19"/>
                <w:szCs w:val="19"/>
                <w:color w:val="auto"/>
              </w:rPr>
            </w:pPr>
          </w:p>
        </w:tc>
        <w:tc>
          <w:tcPr>
            <w:tcW w:w="8640" w:type="dxa"/>
            <w:vAlign w:val="bottom"/>
            <w:gridSpan w:val="6"/>
          </w:tcPr>
          <w:p>
            <w:pPr>
              <w:spacing w:after="0"/>
              <w:rPr>
                <w:sz w:val="20"/>
                <w:szCs w:val="20"/>
                <w:color w:val="auto"/>
              </w:rPr>
            </w:pPr>
            <w:r>
              <w:rPr>
                <w:rFonts w:ascii="Arial" w:cs="Arial" w:eastAsia="Arial" w:hAnsi="Arial"/>
                <w:sz w:val="17"/>
                <w:szCs w:val="17"/>
                <w:color w:val="auto"/>
              </w:rPr>
              <w:t>XBRL Taxonomy Extension Calculation Linkbase Document</w:t>
            </w:r>
          </w:p>
        </w:tc>
        <w:tc>
          <w:tcPr>
            <w:tcW w:w="0" w:type="dxa"/>
            <w:vAlign w:val="bottom"/>
          </w:tcPr>
          <w:p>
            <w:pPr>
              <w:spacing w:after="0"/>
              <w:rPr>
                <w:sz w:val="1"/>
                <w:szCs w:val="1"/>
                <w:color w:val="auto"/>
              </w:rPr>
            </w:pPr>
          </w:p>
        </w:tc>
      </w:tr>
      <w:tr>
        <w:trPr>
          <w:trHeight w:val="222"/>
        </w:trPr>
        <w:tc>
          <w:tcPr>
            <w:tcW w:w="480" w:type="dxa"/>
            <w:vAlign w:val="bottom"/>
          </w:tcPr>
          <w:p>
            <w:pPr>
              <w:spacing w:after="0"/>
              <w:rPr>
                <w:sz w:val="19"/>
                <w:szCs w:val="19"/>
                <w:color w:val="auto"/>
              </w:rPr>
            </w:pPr>
          </w:p>
        </w:tc>
        <w:tc>
          <w:tcPr>
            <w:tcW w:w="1560" w:type="dxa"/>
            <w:vAlign w:val="bottom"/>
          </w:tcPr>
          <w:p>
            <w:pPr>
              <w:ind w:left="480"/>
              <w:spacing w:after="0"/>
              <w:rPr>
                <w:sz w:val="20"/>
                <w:szCs w:val="20"/>
                <w:color w:val="auto"/>
              </w:rPr>
            </w:pPr>
            <w:r>
              <w:rPr>
                <w:rFonts w:ascii="Arial" w:cs="Arial" w:eastAsia="Arial" w:hAnsi="Arial"/>
                <w:sz w:val="17"/>
                <w:szCs w:val="17"/>
                <w:color w:val="auto"/>
              </w:rPr>
              <w:t>101.DEF</w:t>
            </w:r>
          </w:p>
        </w:tc>
        <w:tc>
          <w:tcPr>
            <w:tcW w:w="480" w:type="dxa"/>
            <w:vAlign w:val="bottom"/>
          </w:tcPr>
          <w:p>
            <w:pPr>
              <w:spacing w:after="0"/>
              <w:rPr>
                <w:sz w:val="19"/>
                <w:szCs w:val="19"/>
                <w:color w:val="auto"/>
              </w:rPr>
            </w:pPr>
          </w:p>
        </w:tc>
        <w:tc>
          <w:tcPr>
            <w:tcW w:w="8640" w:type="dxa"/>
            <w:vAlign w:val="bottom"/>
            <w:gridSpan w:val="6"/>
          </w:tcPr>
          <w:p>
            <w:pPr>
              <w:spacing w:after="0"/>
              <w:rPr>
                <w:sz w:val="20"/>
                <w:szCs w:val="20"/>
                <w:color w:val="auto"/>
              </w:rPr>
            </w:pPr>
            <w:r>
              <w:rPr>
                <w:rFonts w:ascii="Arial" w:cs="Arial" w:eastAsia="Arial" w:hAnsi="Arial"/>
                <w:sz w:val="17"/>
                <w:szCs w:val="17"/>
                <w:color w:val="auto"/>
              </w:rPr>
              <w:t>XBRL Taxonomy Extension Definition Linkbase Document</w:t>
            </w:r>
          </w:p>
        </w:tc>
        <w:tc>
          <w:tcPr>
            <w:tcW w:w="0" w:type="dxa"/>
            <w:vAlign w:val="bottom"/>
          </w:tcPr>
          <w:p>
            <w:pPr>
              <w:spacing w:after="0"/>
              <w:rPr>
                <w:sz w:val="1"/>
                <w:szCs w:val="1"/>
                <w:color w:val="auto"/>
              </w:rPr>
            </w:pPr>
          </w:p>
        </w:tc>
      </w:tr>
      <w:tr>
        <w:trPr>
          <w:trHeight w:val="222"/>
        </w:trPr>
        <w:tc>
          <w:tcPr>
            <w:tcW w:w="480" w:type="dxa"/>
            <w:vAlign w:val="bottom"/>
          </w:tcPr>
          <w:p>
            <w:pPr>
              <w:spacing w:after="0"/>
              <w:rPr>
                <w:sz w:val="19"/>
                <w:szCs w:val="19"/>
                <w:color w:val="auto"/>
              </w:rPr>
            </w:pPr>
          </w:p>
        </w:tc>
        <w:tc>
          <w:tcPr>
            <w:tcW w:w="1560" w:type="dxa"/>
            <w:vAlign w:val="bottom"/>
          </w:tcPr>
          <w:p>
            <w:pPr>
              <w:ind w:left="480"/>
              <w:spacing w:after="0"/>
              <w:rPr>
                <w:sz w:val="20"/>
                <w:szCs w:val="20"/>
                <w:color w:val="auto"/>
              </w:rPr>
            </w:pPr>
            <w:r>
              <w:rPr>
                <w:rFonts w:ascii="Arial" w:cs="Arial" w:eastAsia="Arial" w:hAnsi="Arial"/>
                <w:sz w:val="17"/>
                <w:szCs w:val="17"/>
                <w:color w:val="auto"/>
              </w:rPr>
              <w:t>101.PRE</w:t>
            </w:r>
          </w:p>
        </w:tc>
        <w:tc>
          <w:tcPr>
            <w:tcW w:w="480" w:type="dxa"/>
            <w:vAlign w:val="bottom"/>
          </w:tcPr>
          <w:p>
            <w:pPr>
              <w:spacing w:after="0"/>
              <w:rPr>
                <w:sz w:val="19"/>
                <w:szCs w:val="19"/>
                <w:color w:val="auto"/>
              </w:rPr>
            </w:pPr>
          </w:p>
        </w:tc>
        <w:tc>
          <w:tcPr>
            <w:tcW w:w="8640" w:type="dxa"/>
            <w:vAlign w:val="bottom"/>
            <w:gridSpan w:val="6"/>
          </w:tcPr>
          <w:p>
            <w:pPr>
              <w:spacing w:after="0"/>
              <w:rPr>
                <w:sz w:val="20"/>
                <w:szCs w:val="20"/>
                <w:color w:val="auto"/>
              </w:rPr>
            </w:pPr>
            <w:r>
              <w:rPr>
                <w:rFonts w:ascii="Arial" w:cs="Arial" w:eastAsia="Arial" w:hAnsi="Arial"/>
                <w:sz w:val="17"/>
                <w:szCs w:val="17"/>
                <w:color w:val="auto"/>
              </w:rPr>
              <w:t>XBRL Taxonomy Extension Presentation Linkbase Document</w:t>
            </w:r>
          </w:p>
        </w:tc>
        <w:tc>
          <w:tcPr>
            <w:tcW w:w="0" w:type="dxa"/>
            <w:vAlign w:val="bottom"/>
          </w:tcPr>
          <w:p>
            <w:pPr>
              <w:spacing w:after="0"/>
              <w:rPr>
                <w:sz w:val="1"/>
                <w:szCs w:val="1"/>
                <w:color w:val="auto"/>
              </w:rPr>
            </w:pPr>
          </w:p>
        </w:tc>
      </w:tr>
      <w:tr>
        <w:trPr>
          <w:trHeight w:val="222"/>
        </w:trPr>
        <w:tc>
          <w:tcPr>
            <w:tcW w:w="480" w:type="dxa"/>
            <w:vAlign w:val="bottom"/>
          </w:tcPr>
          <w:p>
            <w:pPr>
              <w:spacing w:after="0"/>
              <w:rPr>
                <w:sz w:val="19"/>
                <w:szCs w:val="19"/>
                <w:color w:val="auto"/>
              </w:rPr>
            </w:pPr>
          </w:p>
        </w:tc>
        <w:tc>
          <w:tcPr>
            <w:tcW w:w="1560" w:type="dxa"/>
            <w:vAlign w:val="bottom"/>
          </w:tcPr>
          <w:p>
            <w:pPr>
              <w:ind w:left="480"/>
              <w:spacing w:after="0"/>
              <w:rPr>
                <w:sz w:val="20"/>
                <w:szCs w:val="20"/>
                <w:color w:val="auto"/>
              </w:rPr>
            </w:pPr>
            <w:r>
              <w:rPr>
                <w:rFonts w:ascii="Arial" w:cs="Arial" w:eastAsia="Arial" w:hAnsi="Arial"/>
                <w:sz w:val="17"/>
                <w:szCs w:val="17"/>
                <w:color w:val="auto"/>
              </w:rPr>
              <w:t>101.LAB</w:t>
            </w:r>
          </w:p>
        </w:tc>
        <w:tc>
          <w:tcPr>
            <w:tcW w:w="480" w:type="dxa"/>
            <w:vAlign w:val="bottom"/>
          </w:tcPr>
          <w:p>
            <w:pPr>
              <w:spacing w:after="0"/>
              <w:rPr>
                <w:sz w:val="19"/>
                <w:szCs w:val="19"/>
                <w:color w:val="auto"/>
              </w:rPr>
            </w:pPr>
          </w:p>
        </w:tc>
        <w:tc>
          <w:tcPr>
            <w:tcW w:w="8640" w:type="dxa"/>
            <w:vAlign w:val="bottom"/>
            <w:gridSpan w:val="6"/>
          </w:tcPr>
          <w:p>
            <w:pPr>
              <w:spacing w:after="0"/>
              <w:rPr>
                <w:sz w:val="20"/>
                <w:szCs w:val="20"/>
                <w:color w:val="auto"/>
              </w:rPr>
            </w:pPr>
            <w:r>
              <w:rPr>
                <w:rFonts w:ascii="Arial" w:cs="Arial" w:eastAsia="Arial" w:hAnsi="Arial"/>
                <w:sz w:val="17"/>
                <w:szCs w:val="17"/>
                <w:color w:val="auto"/>
              </w:rPr>
              <w:t>XBRL Taxonomy Extension Label Linkbase Document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Arial" w:cs="Arial" w:eastAsia="Arial" w:hAnsi="Arial"/>
          <w:sz w:val="17"/>
          <w:szCs w:val="17"/>
          <w:color w:val="auto"/>
        </w:rPr>
        <w:t>* Incorporated by reference.</w:t>
      </w:r>
    </w:p>
    <w:p>
      <w:pPr>
        <w:spacing w:after="0" w:line="157" w:lineRule="exact"/>
        <w:rPr>
          <w:sz w:val="20"/>
          <w:szCs w:val="20"/>
          <w:color w:val="auto"/>
        </w:rPr>
      </w:pPr>
    </w:p>
    <w:p>
      <w:pPr>
        <w:ind w:left="140" w:hanging="135"/>
        <w:spacing w:after="0"/>
        <w:tabs>
          <w:tab w:leader="none" w:pos="140" w:val="left"/>
        </w:tabs>
        <w:numPr>
          <w:ilvl w:val="0"/>
          <w:numId w:val="9"/>
        </w:numPr>
        <w:rPr>
          <w:rFonts w:ascii="Arial" w:cs="Arial" w:eastAsia="Arial" w:hAnsi="Arial"/>
          <w:sz w:val="17"/>
          <w:szCs w:val="17"/>
          <w:color w:val="auto"/>
        </w:rPr>
      </w:pPr>
      <w:r>
        <w:rPr>
          <w:rFonts w:ascii="Arial" w:cs="Arial" w:eastAsia="Arial" w:hAnsi="Arial"/>
          <w:sz w:val="17"/>
          <w:szCs w:val="17"/>
          <w:color w:val="auto"/>
        </w:rPr>
        <w:t>Portions of the exhibit have been omitted pursuant to Item 601(b)(10) of Regulation S-K.</w:t>
      </w:r>
    </w:p>
    <w:p>
      <w:pPr>
        <w:spacing w:after="0" w:line="200" w:lineRule="exact"/>
        <w:rPr>
          <w:rFonts w:ascii="Arial" w:cs="Arial" w:eastAsia="Arial" w:hAnsi="Arial"/>
          <w:sz w:val="17"/>
          <w:szCs w:val="17"/>
          <w:color w:val="auto"/>
        </w:rPr>
      </w:pPr>
    </w:p>
    <w:p>
      <w:pPr>
        <w:spacing w:after="0" w:line="388" w:lineRule="exact"/>
        <w:rPr>
          <w:rFonts w:ascii="Arial" w:cs="Arial" w:eastAsia="Arial" w:hAnsi="Arial"/>
          <w:sz w:val="17"/>
          <w:szCs w:val="17"/>
          <w:color w:val="auto"/>
        </w:rPr>
      </w:pPr>
    </w:p>
    <w:p>
      <w:pPr>
        <w:ind w:left="5540"/>
        <w:spacing w:after="0"/>
        <w:rPr>
          <w:rFonts w:ascii="Arial" w:cs="Arial" w:eastAsia="Arial" w:hAnsi="Arial"/>
          <w:sz w:val="17"/>
          <w:szCs w:val="17"/>
          <w:color w:val="auto"/>
        </w:rPr>
      </w:pPr>
      <w:r>
        <w:rPr>
          <w:rFonts w:ascii="Arial" w:cs="Arial" w:eastAsia="Arial" w:hAnsi="Arial"/>
          <w:sz w:val="17"/>
          <w:szCs w:val="17"/>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35" w:name="page36"/>
    <w:bookmarkEnd w:id="35"/>
    <w:p>
      <w:pPr>
        <w:jc w:val="center"/>
        <w:ind w:right="-19"/>
        <w:spacing w:after="0"/>
        <w:rPr>
          <w:sz w:val="20"/>
          <w:szCs w:val="20"/>
          <w:color w:val="auto"/>
        </w:rPr>
      </w:pPr>
      <w:r>
        <w:rPr>
          <w:rFonts w:ascii="Arial" w:cs="Arial" w:eastAsia="Arial" w:hAnsi="Arial"/>
          <w:sz w:val="17"/>
          <w:szCs w:val="17"/>
          <w:b w:val="1"/>
          <w:bCs w:val="1"/>
          <w:color w:val="auto"/>
        </w:rPr>
        <w:t>SIGNATURES</w:t>
      </w:r>
    </w:p>
    <w:p>
      <w:pPr>
        <w:spacing w:after="0" w:line="229" w:lineRule="exact"/>
        <w:rPr>
          <w:sz w:val="20"/>
          <w:szCs w:val="20"/>
          <w:color w:val="auto"/>
        </w:rPr>
      </w:pPr>
    </w:p>
    <w:p>
      <w:pPr>
        <w:ind w:right="140" w:firstLine="235"/>
        <w:spacing w:after="0" w:line="288" w:lineRule="auto"/>
        <w:rPr>
          <w:sz w:val="20"/>
          <w:szCs w:val="20"/>
          <w:color w:val="auto"/>
        </w:rPr>
      </w:pPr>
      <w:r>
        <w:rPr>
          <w:rFonts w:ascii="Arial" w:cs="Arial" w:eastAsia="Arial" w:hAnsi="Arial"/>
          <w:sz w:val="17"/>
          <w:szCs w:val="17"/>
          <w:color w:val="auto"/>
        </w:rPr>
        <w:t>Pursuant to the requirements of the Securities Exchange Act of 1934, the registrant has duly caused this report to be signed on its behalf by the undersigned thereunto duly authorized.</w:t>
      </w:r>
    </w:p>
    <w:p>
      <w:pPr>
        <w:spacing w:after="0" w:line="289" w:lineRule="exact"/>
        <w:rPr>
          <w:sz w:val="20"/>
          <w:szCs w:val="20"/>
          <w:color w:val="auto"/>
        </w:rPr>
      </w:pPr>
    </w:p>
    <w:tbl>
      <w:tblPr>
        <w:tblLayout w:type="fixed"/>
        <w:tblInd w:w="280" w:type="dxa"/>
        <w:tblCellMar>
          <w:top w:w="0" w:type="dxa"/>
          <w:left w:w="0" w:type="dxa"/>
          <w:bottom w:w="0" w:type="dxa"/>
          <w:right w:w="0" w:type="dxa"/>
        </w:tblCellMar>
      </w:tblPr>
      <w:tr>
        <w:trPr>
          <w:trHeight w:val="221"/>
        </w:trPr>
        <w:tc>
          <w:tcPr>
            <w:tcW w:w="27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6820" w:type="dxa"/>
            <w:vAlign w:val="bottom"/>
          </w:tcPr>
          <w:p>
            <w:pPr>
              <w:ind w:left="20"/>
              <w:spacing w:after="0"/>
              <w:rPr>
                <w:sz w:val="20"/>
                <w:szCs w:val="20"/>
                <w:color w:val="auto"/>
              </w:rPr>
            </w:pPr>
            <w:r>
              <w:rPr>
                <w:rFonts w:ascii="Arial" w:cs="Arial" w:eastAsia="Arial" w:hAnsi="Arial"/>
                <w:sz w:val="17"/>
                <w:szCs w:val="17"/>
                <w:color w:val="auto"/>
              </w:rPr>
              <w:t>GLOBALSTAR, INC.</w:t>
            </w:r>
          </w:p>
        </w:tc>
      </w:tr>
      <w:tr>
        <w:trPr>
          <w:trHeight w:val="444"/>
        </w:trPr>
        <w:tc>
          <w:tcPr>
            <w:tcW w:w="2700" w:type="dxa"/>
            <w:vAlign w:val="bottom"/>
          </w:tcPr>
          <w:p>
            <w:pPr>
              <w:spacing w:after="0"/>
              <w:rPr>
                <w:sz w:val="20"/>
                <w:szCs w:val="20"/>
                <w:color w:val="auto"/>
              </w:rPr>
            </w:pPr>
            <w:r>
              <w:rPr>
                <w:rFonts w:ascii="Arial" w:cs="Arial" w:eastAsia="Arial" w:hAnsi="Arial"/>
                <w:sz w:val="17"/>
                <w:szCs w:val="17"/>
                <w:color w:val="auto"/>
              </w:rPr>
              <w:t>Date: November 4, 2021</w:t>
            </w:r>
          </w:p>
        </w:tc>
        <w:tc>
          <w:tcPr>
            <w:tcW w:w="8240" w:type="dxa"/>
            <w:vAlign w:val="bottom"/>
            <w:gridSpan w:val="2"/>
          </w:tcPr>
          <w:p>
            <w:pPr>
              <w:ind w:left="980"/>
              <w:spacing w:after="0"/>
              <w:rPr>
                <w:sz w:val="20"/>
                <w:szCs w:val="20"/>
                <w:color w:val="auto"/>
              </w:rPr>
            </w:pPr>
            <w:r>
              <w:rPr>
                <w:rFonts w:ascii="Arial" w:cs="Arial" w:eastAsia="Arial" w:hAnsi="Arial"/>
                <w:sz w:val="17"/>
                <w:szCs w:val="17"/>
                <w:color w:val="auto"/>
              </w:rPr>
              <w:t>By:   /s/ David B. Kagan</w:t>
            </w:r>
          </w:p>
        </w:tc>
      </w:tr>
      <w:tr>
        <w:trPr>
          <w:trHeight w:val="215"/>
        </w:trPr>
        <w:tc>
          <w:tcPr>
            <w:tcW w:w="270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6820" w:type="dxa"/>
            <w:vAlign w:val="bottom"/>
            <w:tcBorders>
              <w:top w:val="single" w:sz="8" w:color="auto"/>
            </w:tcBorders>
          </w:tcPr>
          <w:p>
            <w:pPr>
              <w:ind w:left="20"/>
              <w:spacing w:after="0"/>
              <w:rPr>
                <w:sz w:val="20"/>
                <w:szCs w:val="20"/>
                <w:color w:val="auto"/>
              </w:rPr>
            </w:pPr>
            <w:r>
              <w:rPr>
                <w:rFonts w:ascii="Arial" w:cs="Arial" w:eastAsia="Arial" w:hAnsi="Arial"/>
                <w:sz w:val="17"/>
                <w:szCs w:val="17"/>
                <w:color w:val="auto"/>
              </w:rPr>
              <w:t>David B. Kagan</w:t>
            </w:r>
          </w:p>
        </w:tc>
      </w:tr>
      <w:tr>
        <w:trPr>
          <w:trHeight w:val="222"/>
        </w:trPr>
        <w:tc>
          <w:tcPr>
            <w:tcW w:w="27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6820" w:type="dxa"/>
            <w:vAlign w:val="bottom"/>
          </w:tcPr>
          <w:p>
            <w:pPr>
              <w:ind w:left="20"/>
              <w:spacing w:after="0"/>
              <w:rPr>
                <w:sz w:val="20"/>
                <w:szCs w:val="20"/>
                <w:color w:val="auto"/>
              </w:rPr>
            </w:pPr>
            <w:r>
              <w:rPr>
                <w:rFonts w:ascii="Arial" w:cs="Arial" w:eastAsia="Arial" w:hAnsi="Arial"/>
                <w:sz w:val="17"/>
                <w:szCs w:val="17"/>
                <w:i w:val="1"/>
                <w:iCs w:val="1"/>
                <w:color w:val="auto"/>
              </w:rPr>
              <w:t>Chief Executive Officer (Principal Executive Officer)</w:t>
            </w:r>
          </w:p>
        </w:tc>
      </w:tr>
      <w:tr>
        <w:trPr>
          <w:trHeight w:val="471"/>
        </w:trPr>
        <w:tc>
          <w:tcPr>
            <w:tcW w:w="27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682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 Rebecca S. Clary</w:t>
            </w:r>
          </w:p>
        </w:tc>
      </w:tr>
      <w:tr>
        <w:trPr>
          <w:trHeight w:val="215"/>
        </w:trPr>
        <w:tc>
          <w:tcPr>
            <w:tcW w:w="270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6820" w:type="dxa"/>
            <w:vAlign w:val="bottom"/>
          </w:tcPr>
          <w:p>
            <w:pPr>
              <w:ind w:left="20"/>
              <w:spacing w:after="0"/>
              <w:rPr>
                <w:sz w:val="20"/>
                <w:szCs w:val="20"/>
                <w:color w:val="auto"/>
              </w:rPr>
            </w:pPr>
            <w:r>
              <w:rPr>
                <w:rFonts w:ascii="Arial" w:cs="Arial" w:eastAsia="Arial" w:hAnsi="Arial"/>
                <w:sz w:val="17"/>
                <w:szCs w:val="17"/>
                <w:color w:val="auto"/>
              </w:rPr>
              <w:t>Rebecca S. Clary</w:t>
            </w:r>
          </w:p>
        </w:tc>
      </w:tr>
      <w:tr>
        <w:trPr>
          <w:trHeight w:val="222"/>
        </w:trPr>
        <w:tc>
          <w:tcPr>
            <w:tcW w:w="27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6820" w:type="dxa"/>
            <w:vAlign w:val="bottom"/>
          </w:tcPr>
          <w:p>
            <w:pPr>
              <w:ind w:left="20"/>
              <w:spacing w:after="0"/>
              <w:rPr>
                <w:sz w:val="20"/>
                <w:szCs w:val="20"/>
                <w:color w:val="auto"/>
              </w:rPr>
            </w:pPr>
            <w:r>
              <w:rPr>
                <w:rFonts w:ascii="Arial" w:cs="Arial" w:eastAsia="Arial" w:hAnsi="Arial"/>
                <w:sz w:val="17"/>
                <w:szCs w:val="17"/>
                <w:i w:val="1"/>
                <w:iCs w:val="1"/>
                <w:color w:val="auto"/>
              </w:rPr>
              <w:t>Chief Financial Officer (Principal Financial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32</w:t>
      </w:r>
    </w:p>
    <w:p>
      <w:pPr>
        <w:sectPr>
          <w:pgSz w:w="11900" w:h="16838" w:orient="portrait"/>
          <w:cols w:equalWidth="0" w:num="1">
            <w:col w:w="11220"/>
          </w:cols>
          <w:pgMar w:left="320" w:top="866" w:right="359" w:bottom="1440" w:gutter="0" w:footer="0" w:header="0"/>
        </w:sectPr>
      </w:pPr>
    </w:p>
    <w:bookmarkStart w:id="36" w:name="page37"/>
    <w:bookmarkEnd w:id="36"/>
    <w:p>
      <w:pPr>
        <w:jc w:val="right"/>
        <w:spacing w:after="0"/>
        <w:rPr>
          <w:sz w:val="20"/>
          <w:szCs w:val="20"/>
          <w:color w:val="auto"/>
        </w:rPr>
      </w:pPr>
      <w:r>
        <w:rPr>
          <w:rFonts w:ascii="Arial" w:cs="Arial" w:eastAsia="Arial" w:hAnsi="Arial"/>
          <w:sz w:val="17"/>
          <w:szCs w:val="17"/>
          <w:b w:val="1"/>
          <w:bCs w:val="1"/>
          <w:color w:val="auto"/>
        </w:rPr>
        <w:t>Exhibit 31.1</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of Chief Executive Officer</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color w:val="auto"/>
        </w:rPr>
        <w:t>I, David B. Kagan, certify that:</w:t>
      </w:r>
    </w:p>
    <w:p>
      <w:pPr>
        <w:spacing w:after="0" w:line="249" w:lineRule="exact"/>
        <w:rPr>
          <w:sz w:val="20"/>
          <w:szCs w:val="20"/>
          <w:color w:val="auto"/>
        </w:rPr>
      </w:pPr>
    </w:p>
    <w:p>
      <w:pPr>
        <w:ind w:left="320" w:hanging="315"/>
        <w:spacing w:after="0"/>
        <w:tabs>
          <w:tab w:leader="none" w:pos="3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I have reviewed this quarterly report on Form 10-Q of Globalstar, Inc.;</w:t>
      </w:r>
    </w:p>
    <w:p>
      <w:pPr>
        <w:spacing w:after="0" w:line="248" w:lineRule="exact"/>
        <w:rPr>
          <w:rFonts w:ascii="Arial" w:cs="Arial" w:eastAsia="Arial" w:hAnsi="Arial"/>
          <w:sz w:val="17"/>
          <w:szCs w:val="17"/>
          <w:color w:val="auto"/>
        </w:rPr>
      </w:pPr>
    </w:p>
    <w:p>
      <w:pPr>
        <w:ind w:left="320" w:right="20" w:hanging="315"/>
        <w:spacing w:after="0" w:line="321" w:lineRule="auto"/>
        <w:tabs>
          <w:tab w:leader="none" w:pos="320" w:val="left"/>
        </w:tabs>
        <w:numPr>
          <w:ilvl w:val="0"/>
          <w:numId w:val="10"/>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61" w:lineRule="exact"/>
        <w:rPr>
          <w:rFonts w:ascii="Arial" w:cs="Arial" w:eastAsia="Arial" w:hAnsi="Arial"/>
          <w:sz w:val="16"/>
          <w:szCs w:val="16"/>
          <w:color w:val="auto"/>
        </w:rPr>
      </w:pPr>
    </w:p>
    <w:p>
      <w:pPr>
        <w:ind w:left="320" w:right="100" w:hanging="315"/>
        <w:spacing w:after="0" w:line="288" w:lineRule="auto"/>
        <w:tabs>
          <w:tab w:leader="none" w:pos="3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4" w:lineRule="exact"/>
        <w:rPr>
          <w:rFonts w:ascii="Arial" w:cs="Arial" w:eastAsia="Arial" w:hAnsi="Arial"/>
          <w:sz w:val="17"/>
          <w:szCs w:val="17"/>
          <w:color w:val="auto"/>
        </w:rPr>
      </w:pPr>
    </w:p>
    <w:p>
      <w:pPr>
        <w:ind w:left="320" w:right="340" w:hanging="315"/>
        <w:spacing w:after="0" w:line="321" w:lineRule="auto"/>
        <w:tabs>
          <w:tab w:leader="none" w:pos="320" w:val="left"/>
        </w:tabs>
        <w:numPr>
          <w:ilvl w:val="0"/>
          <w:numId w:val="10"/>
        </w:numPr>
        <w:rPr>
          <w:rFonts w:ascii="Arial" w:cs="Arial" w:eastAsia="Arial" w:hAnsi="Arial"/>
          <w:sz w:val="16"/>
          <w:szCs w:val="16"/>
          <w:color w:val="auto"/>
        </w:rPr>
      </w:pPr>
      <w:r>
        <w:rPr>
          <w:rFonts w:ascii="Arial" w:cs="Arial" w:eastAsia="Arial" w:hAnsi="Arial"/>
          <w:sz w:val="16"/>
          <w:szCs w:val="16"/>
          <w:color w:val="auto"/>
        </w:rPr>
        <w:t>I am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161" w:lineRule="exact"/>
        <w:rPr>
          <w:rFonts w:ascii="Arial" w:cs="Arial" w:eastAsia="Arial" w:hAnsi="Arial"/>
          <w:sz w:val="16"/>
          <w:szCs w:val="16"/>
          <w:color w:val="auto"/>
        </w:rPr>
      </w:pPr>
    </w:p>
    <w:p>
      <w:pPr>
        <w:jc w:val="both"/>
        <w:ind w:left="940" w:right="420" w:hanging="308"/>
        <w:spacing w:after="0" w:line="272" w:lineRule="auto"/>
        <w:tabs>
          <w:tab w:leader="none" w:pos="937" w:val="left"/>
        </w:tabs>
        <w:numPr>
          <w:ilvl w:val="1"/>
          <w:numId w:val="10"/>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my supervision, to ensure that material information relating to the registrant, including its consolidated subsidiaries, is made known to me by others within those entities, particularly during the period in which this report is being prepared;</w:t>
      </w:r>
    </w:p>
    <w:p>
      <w:pPr>
        <w:spacing w:after="0" w:line="197" w:lineRule="exact"/>
        <w:rPr>
          <w:rFonts w:ascii="Arial" w:cs="Arial" w:eastAsia="Arial" w:hAnsi="Arial"/>
          <w:sz w:val="17"/>
          <w:szCs w:val="17"/>
          <w:color w:val="auto"/>
        </w:rPr>
      </w:pPr>
    </w:p>
    <w:p>
      <w:pPr>
        <w:ind w:left="940" w:right="120" w:hanging="308"/>
        <w:spacing w:after="0" w:line="272" w:lineRule="auto"/>
        <w:tabs>
          <w:tab w:leader="none" w:pos="934" w:val="left"/>
        </w:tabs>
        <w:numPr>
          <w:ilvl w:val="1"/>
          <w:numId w:val="10"/>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my supervision, to provide reasonable assurance regarding the reliability of financial reporting and the preparation of financial statements for external purposes in accordance with generally accepted accounting principles;</w:t>
      </w:r>
    </w:p>
    <w:p>
      <w:pPr>
        <w:spacing w:after="0" w:line="197" w:lineRule="exact"/>
        <w:rPr>
          <w:rFonts w:ascii="Arial" w:cs="Arial" w:eastAsia="Arial" w:hAnsi="Arial"/>
          <w:sz w:val="17"/>
          <w:szCs w:val="17"/>
          <w:color w:val="auto"/>
        </w:rPr>
      </w:pPr>
    </w:p>
    <w:p>
      <w:pPr>
        <w:ind w:left="940" w:right="40" w:hanging="308"/>
        <w:spacing w:after="0" w:line="288" w:lineRule="auto"/>
        <w:tabs>
          <w:tab w:leader="none" w:pos="937" w:val="left"/>
        </w:tabs>
        <w:numPr>
          <w:ilvl w:val="1"/>
          <w:numId w:val="10"/>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my conclusion about the effectiveness of the disclosure controls and procedures, as of the end of the period covered by this report based on such evaluation; and</w:t>
      </w:r>
    </w:p>
    <w:p>
      <w:pPr>
        <w:spacing w:after="0" w:line="184" w:lineRule="exact"/>
        <w:rPr>
          <w:rFonts w:ascii="Arial" w:cs="Arial" w:eastAsia="Arial" w:hAnsi="Arial"/>
          <w:sz w:val="17"/>
          <w:szCs w:val="17"/>
          <w:color w:val="auto"/>
        </w:rPr>
      </w:pPr>
    </w:p>
    <w:p>
      <w:pPr>
        <w:ind w:left="940" w:right="200" w:hanging="308"/>
        <w:spacing w:after="0" w:line="321" w:lineRule="auto"/>
        <w:tabs>
          <w:tab w:leader="none" w:pos="934" w:val="left"/>
        </w:tabs>
        <w:numPr>
          <w:ilvl w:val="1"/>
          <w:numId w:val="10"/>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161" w:lineRule="exact"/>
        <w:rPr>
          <w:rFonts w:ascii="Arial" w:cs="Arial" w:eastAsia="Arial" w:hAnsi="Arial"/>
          <w:sz w:val="16"/>
          <w:szCs w:val="16"/>
          <w:color w:val="auto"/>
        </w:rPr>
      </w:pPr>
    </w:p>
    <w:p>
      <w:pPr>
        <w:ind w:left="320" w:right="160" w:hanging="315"/>
        <w:spacing w:after="0" w:line="288" w:lineRule="auto"/>
        <w:tabs>
          <w:tab w:leader="none" w:pos="3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I have disclosed, based on my most recent evaluation of internal control over financial reporting, to the registrant’s auditors and the audit committee of the registrant’s board of directors:</w:t>
      </w:r>
    </w:p>
    <w:p>
      <w:pPr>
        <w:spacing w:after="0" w:line="184" w:lineRule="exact"/>
        <w:rPr>
          <w:rFonts w:ascii="Arial" w:cs="Arial" w:eastAsia="Arial" w:hAnsi="Arial"/>
          <w:sz w:val="17"/>
          <w:szCs w:val="17"/>
          <w:color w:val="auto"/>
        </w:rPr>
      </w:pPr>
    </w:p>
    <w:p>
      <w:pPr>
        <w:ind w:left="940" w:right="320" w:hanging="308"/>
        <w:spacing w:after="0" w:line="288" w:lineRule="auto"/>
        <w:tabs>
          <w:tab w:leader="none" w:pos="937" w:val="left"/>
        </w:tabs>
        <w:numPr>
          <w:ilvl w:val="1"/>
          <w:numId w:val="10"/>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4" w:lineRule="exact"/>
        <w:rPr>
          <w:rFonts w:ascii="Arial" w:cs="Arial" w:eastAsia="Arial" w:hAnsi="Arial"/>
          <w:sz w:val="17"/>
          <w:szCs w:val="17"/>
          <w:color w:val="auto"/>
        </w:rPr>
      </w:pPr>
    </w:p>
    <w:p>
      <w:pPr>
        <w:ind w:left="940" w:right="280" w:hanging="308"/>
        <w:spacing w:after="0" w:line="288" w:lineRule="auto"/>
        <w:tabs>
          <w:tab w:leader="none" w:pos="934" w:val="left"/>
        </w:tabs>
        <w:numPr>
          <w:ilvl w:val="1"/>
          <w:numId w:val="10"/>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223" w:lineRule="exact"/>
        <w:rPr>
          <w:sz w:val="20"/>
          <w:szCs w:val="20"/>
          <w:color w:val="auto"/>
        </w:rPr>
      </w:pPr>
    </w:p>
    <w:tbl>
      <w:tblPr>
        <w:tblLayout w:type="fixed"/>
        <w:tblInd w:w="180" w:type="dxa"/>
        <w:tblCellMar>
          <w:top w:w="0" w:type="dxa"/>
          <w:left w:w="0" w:type="dxa"/>
          <w:bottom w:w="0" w:type="dxa"/>
          <w:right w:w="0" w:type="dxa"/>
        </w:tblCellMar>
      </w:tblPr>
      <w:tr>
        <w:trPr>
          <w:trHeight w:val="221"/>
        </w:trPr>
        <w:tc>
          <w:tcPr>
            <w:tcW w:w="720" w:type="dxa"/>
            <w:vAlign w:val="bottom"/>
          </w:tcPr>
          <w:p>
            <w:pPr>
              <w:spacing w:after="0"/>
              <w:rPr>
                <w:sz w:val="20"/>
                <w:szCs w:val="20"/>
                <w:color w:val="auto"/>
              </w:rPr>
            </w:pPr>
            <w:r>
              <w:rPr>
                <w:rFonts w:ascii="Arial" w:cs="Arial" w:eastAsia="Arial" w:hAnsi="Arial"/>
                <w:sz w:val="17"/>
                <w:szCs w:val="17"/>
                <w:color w:val="auto"/>
              </w:rPr>
              <w:t>Date:</w:t>
            </w:r>
          </w:p>
        </w:tc>
        <w:tc>
          <w:tcPr>
            <w:tcW w:w="5080" w:type="dxa"/>
            <w:vAlign w:val="bottom"/>
          </w:tcPr>
          <w:p>
            <w:pPr>
              <w:ind w:left="20"/>
              <w:spacing w:after="0"/>
              <w:rPr>
                <w:sz w:val="20"/>
                <w:szCs w:val="20"/>
                <w:color w:val="auto"/>
              </w:rPr>
            </w:pPr>
            <w:r>
              <w:rPr>
                <w:rFonts w:ascii="Arial" w:cs="Arial" w:eastAsia="Arial" w:hAnsi="Arial"/>
                <w:sz w:val="17"/>
                <w:szCs w:val="17"/>
                <w:color w:val="auto"/>
              </w:rPr>
              <w:t>November 4, 2021</w:t>
            </w:r>
          </w:p>
        </w:tc>
      </w:tr>
      <w:tr>
        <w:trPr>
          <w:trHeight w:val="379"/>
        </w:trPr>
        <w:tc>
          <w:tcPr>
            <w:tcW w:w="720" w:type="dxa"/>
            <w:vAlign w:val="bottom"/>
          </w:tcPr>
          <w:p>
            <w:pPr>
              <w:spacing w:after="0"/>
              <w:rPr>
                <w:sz w:val="20"/>
                <w:szCs w:val="20"/>
                <w:color w:val="auto"/>
              </w:rPr>
            </w:pPr>
            <w:r>
              <w:rPr>
                <w:rFonts w:ascii="Arial" w:cs="Arial" w:eastAsia="Arial" w:hAnsi="Arial"/>
                <w:sz w:val="17"/>
                <w:szCs w:val="17"/>
                <w:color w:val="auto"/>
              </w:rPr>
              <w:t>By:</w:t>
            </w:r>
          </w:p>
        </w:tc>
        <w:tc>
          <w:tcPr>
            <w:tcW w:w="508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 David B. Kagan</w:t>
            </w:r>
          </w:p>
        </w:tc>
      </w:tr>
      <w:tr>
        <w:trPr>
          <w:trHeight w:val="215"/>
        </w:trPr>
        <w:tc>
          <w:tcPr>
            <w:tcW w:w="720" w:type="dxa"/>
            <w:vAlign w:val="bottom"/>
          </w:tcPr>
          <w:p>
            <w:pPr>
              <w:spacing w:after="0"/>
              <w:rPr>
                <w:sz w:val="18"/>
                <w:szCs w:val="18"/>
                <w:color w:val="auto"/>
              </w:rPr>
            </w:pPr>
          </w:p>
        </w:tc>
        <w:tc>
          <w:tcPr>
            <w:tcW w:w="5080" w:type="dxa"/>
            <w:vAlign w:val="bottom"/>
          </w:tcPr>
          <w:p>
            <w:pPr>
              <w:ind w:left="20"/>
              <w:spacing w:after="0"/>
              <w:rPr>
                <w:sz w:val="20"/>
                <w:szCs w:val="20"/>
                <w:color w:val="auto"/>
              </w:rPr>
            </w:pPr>
            <w:r>
              <w:rPr>
                <w:rFonts w:ascii="Arial" w:cs="Arial" w:eastAsia="Arial" w:hAnsi="Arial"/>
                <w:sz w:val="17"/>
                <w:szCs w:val="17"/>
                <w:color w:val="auto"/>
              </w:rPr>
              <w:t>David B. Kagan</w:t>
            </w:r>
          </w:p>
        </w:tc>
      </w:tr>
      <w:tr>
        <w:trPr>
          <w:trHeight w:val="222"/>
        </w:trPr>
        <w:tc>
          <w:tcPr>
            <w:tcW w:w="720" w:type="dxa"/>
            <w:vAlign w:val="bottom"/>
          </w:tcPr>
          <w:p>
            <w:pPr>
              <w:spacing w:after="0"/>
              <w:rPr>
                <w:sz w:val="19"/>
                <w:szCs w:val="19"/>
                <w:color w:val="auto"/>
              </w:rPr>
            </w:pPr>
          </w:p>
        </w:tc>
        <w:tc>
          <w:tcPr>
            <w:tcW w:w="5080" w:type="dxa"/>
            <w:vAlign w:val="bottom"/>
          </w:tcPr>
          <w:p>
            <w:pPr>
              <w:ind w:left="20"/>
              <w:spacing w:after="0"/>
              <w:rPr>
                <w:sz w:val="20"/>
                <w:szCs w:val="20"/>
                <w:color w:val="auto"/>
              </w:rPr>
            </w:pPr>
            <w:r>
              <w:rPr>
                <w:rFonts w:ascii="Arial" w:cs="Arial" w:eastAsia="Arial" w:hAnsi="Arial"/>
                <w:sz w:val="17"/>
                <w:szCs w:val="17"/>
                <w:i w:val="1"/>
                <w:iCs w:val="1"/>
                <w:color w:val="auto"/>
              </w:rPr>
              <w:t>Chief Executive Officer (Principal Executive Officer)</w:t>
            </w:r>
          </w:p>
        </w:tc>
      </w:tr>
    </w:tbl>
    <w:p>
      <w:pPr>
        <w:sectPr>
          <w:pgSz w:w="11900" w:h="16838" w:orient="portrait"/>
          <w:cols w:equalWidth="0" w:num="1">
            <w:col w:w="11240"/>
          </w:cols>
          <w:pgMar w:left="320" w:top="866" w:right="339" w:bottom="1440" w:gutter="0" w:footer="0" w:header="0"/>
        </w:sectPr>
      </w:pPr>
    </w:p>
    <w:bookmarkStart w:id="37" w:name="page38"/>
    <w:bookmarkEnd w:id="37"/>
    <w:p>
      <w:pPr>
        <w:jc w:val="right"/>
        <w:spacing w:after="0"/>
        <w:rPr>
          <w:sz w:val="20"/>
          <w:szCs w:val="20"/>
          <w:color w:val="auto"/>
        </w:rPr>
      </w:pPr>
      <w:r>
        <w:rPr>
          <w:rFonts w:ascii="Arial" w:cs="Arial" w:eastAsia="Arial" w:hAnsi="Arial"/>
          <w:sz w:val="17"/>
          <w:szCs w:val="17"/>
          <w:b w:val="1"/>
          <w:bCs w:val="1"/>
          <w:color w:val="auto"/>
        </w:rPr>
        <w:t>Exhibit 31.2</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of Chief Financial Officer</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color w:val="auto"/>
        </w:rPr>
        <w:t>I, Rebecca S. Clary certify that:</w:t>
      </w:r>
    </w:p>
    <w:p>
      <w:pPr>
        <w:spacing w:after="0" w:line="249" w:lineRule="exact"/>
        <w:rPr>
          <w:sz w:val="20"/>
          <w:szCs w:val="20"/>
          <w:color w:val="auto"/>
        </w:rPr>
      </w:pPr>
    </w:p>
    <w:p>
      <w:pPr>
        <w:ind w:left="320" w:hanging="315"/>
        <w:spacing w:after="0"/>
        <w:tabs>
          <w:tab w:leader="none" w:pos="3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I have reviewed this quarterly report on Form 10-Q of Globalstar, Inc.;</w:t>
      </w:r>
    </w:p>
    <w:p>
      <w:pPr>
        <w:spacing w:after="0" w:line="248" w:lineRule="exact"/>
        <w:rPr>
          <w:rFonts w:ascii="Arial" w:cs="Arial" w:eastAsia="Arial" w:hAnsi="Arial"/>
          <w:sz w:val="17"/>
          <w:szCs w:val="17"/>
          <w:color w:val="auto"/>
        </w:rPr>
      </w:pPr>
    </w:p>
    <w:p>
      <w:pPr>
        <w:ind w:left="320" w:right="20" w:hanging="315"/>
        <w:spacing w:after="0" w:line="321" w:lineRule="auto"/>
        <w:tabs>
          <w:tab w:leader="none" w:pos="3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61" w:lineRule="exact"/>
        <w:rPr>
          <w:rFonts w:ascii="Arial" w:cs="Arial" w:eastAsia="Arial" w:hAnsi="Arial"/>
          <w:sz w:val="16"/>
          <w:szCs w:val="16"/>
          <w:color w:val="auto"/>
        </w:rPr>
      </w:pPr>
    </w:p>
    <w:p>
      <w:pPr>
        <w:ind w:left="320" w:right="100" w:hanging="315"/>
        <w:spacing w:after="0" w:line="288" w:lineRule="auto"/>
        <w:tabs>
          <w:tab w:leader="none" w:pos="3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4" w:lineRule="exact"/>
        <w:rPr>
          <w:rFonts w:ascii="Arial" w:cs="Arial" w:eastAsia="Arial" w:hAnsi="Arial"/>
          <w:sz w:val="17"/>
          <w:szCs w:val="17"/>
          <w:color w:val="auto"/>
        </w:rPr>
      </w:pPr>
    </w:p>
    <w:p>
      <w:pPr>
        <w:ind w:left="320" w:right="340" w:hanging="315"/>
        <w:spacing w:after="0" w:line="321" w:lineRule="auto"/>
        <w:tabs>
          <w:tab w:leader="none" w:pos="3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I am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161" w:lineRule="exact"/>
        <w:rPr>
          <w:rFonts w:ascii="Arial" w:cs="Arial" w:eastAsia="Arial" w:hAnsi="Arial"/>
          <w:sz w:val="16"/>
          <w:szCs w:val="16"/>
          <w:color w:val="auto"/>
        </w:rPr>
      </w:pPr>
    </w:p>
    <w:p>
      <w:pPr>
        <w:jc w:val="both"/>
        <w:ind w:left="940" w:right="420" w:hanging="308"/>
        <w:spacing w:after="0" w:line="272" w:lineRule="auto"/>
        <w:tabs>
          <w:tab w:leader="none" w:pos="937" w:val="left"/>
        </w:tabs>
        <w:numPr>
          <w:ilvl w:val="1"/>
          <w:numId w:val="11"/>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my supervision, to ensure that material information relating to the registrant, including its consolidated subsidiaries, is made known to me by others within those entities, particularly during the period in which this report is being prepared;</w:t>
      </w:r>
    </w:p>
    <w:p>
      <w:pPr>
        <w:spacing w:after="0" w:line="197" w:lineRule="exact"/>
        <w:rPr>
          <w:rFonts w:ascii="Arial" w:cs="Arial" w:eastAsia="Arial" w:hAnsi="Arial"/>
          <w:sz w:val="17"/>
          <w:szCs w:val="17"/>
          <w:color w:val="auto"/>
        </w:rPr>
      </w:pPr>
    </w:p>
    <w:p>
      <w:pPr>
        <w:ind w:left="940" w:right="120" w:hanging="308"/>
        <w:spacing w:after="0" w:line="272" w:lineRule="auto"/>
        <w:tabs>
          <w:tab w:leader="none" w:pos="934" w:val="left"/>
        </w:tabs>
        <w:numPr>
          <w:ilvl w:val="1"/>
          <w:numId w:val="11"/>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my supervision, to provide reasonable assurance regarding the reliability of financial reporting and the preparation of financial statements for external purposes in accordance with generally accepted accounting principles;</w:t>
      </w:r>
    </w:p>
    <w:p>
      <w:pPr>
        <w:spacing w:after="0" w:line="197" w:lineRule="exact"/>
        <w:rPr>
          <w:rFonts w:ascii="Arial" w:cs="Arial" w:eastAsia="Arial" w:hAnsi="Arial"/>
          <w:sz w:val="17"/>
          <w:szCs w:val="17"/>
          <w:color w:val="auto"/>
        </w:rPr>
      </w:pPr>
    </w:p>
    <w:p>
      <w:pPr>
        <w:ind w:left="940" w:right="40" w:hanging="308"/>
        <w:spacing w:after="0" w:line="288" w:lineRule="auto"/>
        <w:tabs>
          <w:tab w:leader="none" w:pos="937" w:val="left"/>
        </w:tabs>
        <w:numPr>
          <w:ilvl w:val="1"/>
          <w:numId w:val="11"/>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my conclusion about the effectiveness of the disclosure controls and procedures, as of the end of the period covered by this report based on such evaluation; and</w:t>
      </w:r>
    </w:p>
    <w:p>
      <w:pPr>
        <w:spacing w:after="0" w:line="184" w:lineRule="exact"/>
        <w:rPr>
          <w:rFonts w:ascii="Arial" w:cs="Arial" w:eastAsia="Arial" w:hAnsi="Arial"/>
          <w:sz w:val="17"/>
          <w:szCs w:val="17"/>
          <w:color w:val="auto"/>
        </w:rPr>
      </w:pPr>
    </w:p>
    <w:p>
      <w:pPr>
        <w:ind w:left="940" w:right="200" w:hanging="308"/>
        <w:spacing w:after="0" w:line="321" w:lineRule="auto"/>
        <w:tabs>
          <w:tab w:leader="none" w:pos="934" w:val="left"/>
        </w:tabs>
        <w:numPr>
          <w:ilvl w:val="1"/>
          <w:numId w:val="11"/>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161" w:lineRule="exact"/>
        <w:rPr>
          <w:rFonts w:ascii="Arial" w:cs="Arial" w:eastAsia="Arial" w:hAnsi="Arial"/>
          <w:sz w:val="16"/>
          <w:szCs w:val="16"/>
          <w:color w:val="auto"/>
        </w:rPr>
      </w:pPr>
    </w:p>
    <w:p>
      <w:pPr>
        <w:ind w:left="320" w:right="160" w:hanging="315"/>
        <w:spacing w:after="0" w:line="288" w:lineRule="auto"/>
        <w:tabs>
          <w:tab w:leader="none" w:pos="3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I have disclosed, based on my most recent evaluation of internal control over financial reporting, to the registrant’s auditors and the audit committee of the registrant’s board of directors:</w:t>
      </w:r>
    </w:p>
    <w:p>
      <w:pPr>
        <w:spacing w:after="0" w:line="184" w:lineRule="exact"/>
        <w:rPr>
          <w:rFonts w:ascii="Arial" w:cs="Arial" w:eastAsia="Arial" w:hAnsi="Arial"/>
          <w:sz w:val="17"/>
          <w:szCs w:val="17"/>
          <w:color w:val="auto"/>
        </w:rPr>
      </w:pPr>
    </w:p>
    <w:p>
      <w:pPr>
        <w:ind w:left="940" w:right="320" w:hanging="308"/>
        <w:spacing w:after="0" w:line="288" w:lineRule="auto"/>
        <w:tabs>
          <w:tab w:leader="none" w:pos="937" w:val="left"/>
        </w:tabs>
        <w:numPr>
          <w:ilvl w:val="1"/>
          <w:numId w:val="11"/>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4" w:lineRule="exact"/>
        <w:rPr>
          <w:rFonts w:ascii="Arial" w:cs="Arial" w:eastAsia="Arial" w:hAnsi="Arial"/>
          <w:sz w:val="17"/>
          <w:szCs w:val="17"/>
          <w:color w:val="auto"/>
        </w:rPr>
      </w:pPr>
    </w:p>
    <w:p>
      <w:pPr>
        <w:ind w:left="940" w:right="280" w:hanging="308"/>
        <w:spacing w:after="0" w:line="288" w:lineRule="auto"/>
        <w:tabs>
          <w:tab w:leader="none" w:pos="934" w:val="left"/>
        </w:tabs>
        <w:numPr>
          <w:ilvl w:val="1"/>
          <w:numId w:val="11"/>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223" w:lineRule="exact"/>
        <w:rPr>
          <w:sz w:val="20"/>
          <w:szCs w:val="20"/>
          <w:color w:val="auto"/>
        </w:rPr>
      </w:pPr>
    </w:p>
    <w:tbl>
      <w:tblPr>
        <w:tblLayout w:type="fixed"/>
        <w:tblInd w:w="180" w:type="dxa"/>
        <w:tblCellMar>
          <w:top w:w="0" w:type="dxa"/>
          <w:left w:w="0" w:type="dxa"/>
          <w:bottom w:w="0" w:type="dxa"/>
          <w:right w:w="0" w:type="dxa"/>
        </w:tblCellMar>
      </w:tblPr>
      <w:tr>
        <w:trPr>
          <w:trHeight w:val="221"/>
        </w:trPr>
        <w:tc>
          <w:tcPr>
            <w:tcW w:w="720" w:type="dxa"/>
            <w:vAlign w:val="bottom"/>
          </w:tcPr>
          <w:p>
            <w:pPr>
              <w:spacing w:after="0"/>
              <w:rPr>
                <w:sz w:val="20"/>
                <w:szCs w:val="20"/>
                <w:color w:val="auto"/>
              </w:rPr>
            </w:pPr>
            <w:r>
              <w:rPr>
                <w:rFonts w:ascii="Arial" w:cs="Arial" w:eastAsia="Arial" w:hAnsi="Arial"/>
                <w:sz w:val="17"/>
                <w:szCs w:val="17"/>
                <w:color w:val="auto"/>
              </w:rPr>
              <w:t>Date:</w:t>
            </w:r>
          </w:p>
        </w:tc>
        <w:tc>
          <w:tcPr>
            <w:tcW w:w="5080" w:type="dxa"/>
            <w:vAlign w:val="bottom"/>
          </w:tcPr>
          <w:p>
            <w:pPr>
              <w:ind w:left="20"/>
              <w:spacing w:after="0"/>
              <w:rPr>
                <w:sz w:val="20"/>
                <w:szCs w:val="20"/>
                <w:color w:val="auto"/>
              </w:rPr>
            </w:pPr>
            <w:r>
              <w:rPr>
                <w:rFonts w:ascii="Arial" w:cs="Arial" w:eastAsia="Arial" w:hAnsi="Arial"/>
                <w:sz w:val="17"/>
                <w:szCs w:val="17"/>
                <w:color w:val="auto"/>
              </w:rPr>
              <w:t>November 4, 2021</w:t>
            </w:r>
          </w:p>
        </w:tc>
      </w:tr>
      <w:tr>
        <w:trPr>
          <w:trHeight w:val="379"/>
        </w:trPr>
        <w:tc>
          <w:tcPr>
            <w:tcW w:w="720" w:type="dxa"/>
            <w:vAlign w:val="bottom"/>
          </w:tcPr>
          <w:p>
            <w:pPr>
              <w:spacing w:after="0"/>
              <w:rPr>
                <w:sz w:val="20"/>
                <w:szCs w:val="20"/>
                <w:color w:val="auto"/>
              </w:rPr>
            </w:pPr>
            <w:r>
              <w:rPr>
                <w:rFonts w:ascii="Arial" w:cs="Arial" w:eastAsia="Arial" w:hAnsi="Arial"/>
                <w:sz w:val="17"/>
                <w:szCs w:val="17"/>
                <w:color w:val="auto"/>
              </w:rPr>
              <w:t>By:</w:t>
            </w:r>
          </w:p>
        </w:tc>
        <w:tc>
          <w:tcPr>
            <w:tcW w:w="508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 Rebecca S. Clary</w:t>
            </w:r>
          </w:p>
        </w:tc>
      </w:tr>
      <w:tr>
        <w:trPr>
          <w:trHeight w:val="215"/>
        </w:trPr>
        <w:tc>
          <w:tcPr>
            <w:tcW w:w="720" w:type="dxa"/>
            <w:vAlign w:val="bottom"/>
          </w:tcPr>
          <w:p>
            <w:pPr>
              <w:spacing w:after="0"/>
              <w:rPr>
                <w:sz w:val="18"/>
                <w:szCs w:val="18"/>
                <w:color w:val="auto"/>
              </w:rPr>
            </w:pPr>
          </w:p>
        </w:tc>
        <w:tc>
          <w:tcPr>
            <w:tcW w:w="5080" w:type="dxa"/>
            <w:vAlign w:val="bottom"/>
          </w:tcPr>
          <w:p>
            <w:pPr>
              <w:ind w:left="20"/>
              <w:spacing w:after="0"/>
              <w:rPr>
                <w:sz w:val="20"/>
                <w:szCs w:val="20"/>
                <w:color w:val="auto"/>
              </w:rPr>
            </w:pPr>
            <w:r>
              <w:rPr>
                <w:rFonts w:ascii="Arial" w:cs="Arial" w:eastAsia="Arial" w:hAnsi="Arial"/>
                <w:sz w:val="17"/>
                <w:szCs w:val="17"/>
                <w:color w:val="auto"/>
              </w:rPr>
              <w:t>Rebecca S. Clary</w:t>
            </w:r>
          </w:p>
        </w:tc>
      </w:tr>
      <w:tr>
        <w:trPr>
          <w:trHeight w:val="222"/>
        </w:trPr>
        <w:tc>
          <w:tcPr>
            <w:tcW w:w="720" w:type="dxa"/>
            <w:vAlign w:val="bottom"/>
          </w:tcPr>
          <w:p>
            <w:pPr>
              <w:spacing w:after="0"/>
              <w:rPr>
                <w:sz w:val="19"/>
                <w:szCs w:val="19"/>
                <w:color w:val="auto"/>
              </w:rPr>
            </w:pPr>
          </w:p>
        </w:tc>
        <w:tc>
          <w:tcPr>
            <w:tcW w:w="5080" w:type="dxa"/>
            <w:vAlign w:val="bottom"/>
          </w:tcPr>
          <w:p>
            <w:pPr>
              <w:ind w:left="20"/>
              <w:spacing w:after="0"/>
              <w:rPr>
                <w:sz w:val="20"/>
                <w:szCs w:val="20"/>
                <w:color w:val="auto"/>
              </w:rPr>
            </w:pPr>
            <w:r>
              <w:rPr>
                <w:rFonts w:ascii="Arial" w:cs="Arial" w:eastAsia="Arial" w:hAnsi="Arial"/>
                <w:sz w:val="17"/>
                <w:szCs w:val="17"/>
                <w:i w:val="1"/>
                <w:iCs w:val="1"/>
                <w:color w:val="auto"/>
              </w:rPr>
              <w:t>Chief Financial Officer (Principal Financial Officer)</w:t>
            </w:r>
          </w:p>
        </w:tc>
      </w:tr>
    </w:tbl>
    <w:p>
      <w:pPr>
        <w:sectPr>
          <w:pgSz w:w="11900" w:h="16838" w:orient="portrait"/>
          <w:cols w:equalWidth="0" w:num="1">
            <w:col w:w="11240"/>
          </w:cols>
          <w:pgMar w:left="320" w:top="866" w:right="339" w:bottom="1440" w:gutter="0" w:footer="0" w:header="0"/>
        </w:sectPr>
      </w:pPr>
    </w:p>
    <w:bookmarkStart w:id="38" w:name="page39"/>
    <w:bookmarkEnd w:id="38"/>
    <w:p>
      <w:pPr>
        <w:jc w:val="right"/>
        <w:spacing w:after="0"/>
        <w:rPr>
          <w:sz w:val="20"/>
          <w:szCs w:val="20"/>
          <w:color w:val="auto"/>
        </w:rPr>
      </w:pPr>
      <w:r>
        <w:rPr>
          <w:rFonts w:ascii="Arial" w:cs="Arial" w:eastAsia="Arial" w:hAnsi="Arial"/>
          <w:sz w:val="17"/>
          <w:szCs w:val="17"/>
          <w:b w:val="1"/>
          <w:bCs w:val="1"/>
          <w:color w:val="auto"/>
        </w:rPr>
        <w:t>Exhibit 32.1</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Pursuant to Section 906 of the Sarbanes-Oxley Act of 2002</w:t>
      </w:r>
    </w:p>
    <w:p>
      <w:pPr>
        <w:spacing w:after="0" w:line="255"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Pursuant to section 906 of the Sarbanes-Oxley Act of 2002 (subsections (a) and (b) of Section 1350, Chapter 63 of Title 18, United States Code), the undersigned officer of Globalstar, Inc. (the “Company”), does hereby certify that:</w:t>
      </w:r>
    </w:p>
    <w:p>
      <w:pPr>
        <w:spacing w:after="0" w:line="158"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This quarterly report on Form 10-Q for the quarter ended September 30, 2021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tbl>
      <w:tblPr>
        <w:tblLayout w:type="fixed"/>
        <w:tblInd w:w="20" w:type="dxa"/>
        <w:tblCellMar>
          <w:top w:w="0" w:type="dxa"/>
          <w:left w:w="0" w:type="dxa"/>
          <w:bottom w:w="0" w:type="dxa"/>
          <w:right w:w="0" w:type="dxa"/>
        </w:tblCellMar>
      </w:tblPr>
      <w:tr>
        <w:trPr>
          <w:trHeight w:val="221"/>
        </w:trPr>
        <w:tc>
          <w:tcPr>
            <w:tcW w:w="520" w:type="dxa"/>
            <w:vAlign w:val="bottom"/>
          </w:tcPr>
          <w:p>
            <w:pPr>
              <w:spacing w:after="0"/>
              <w:rPr>
                <w:sz w:val="20"/>
                <w:szCs w:val="20"/>
                <w:color w:val="auto"/>
              </w:rPr>
            </w:pPr>
            <w:r>
              <w:rPr>
                <w:rFonts w:ascii="Arial" w:cs="Arial" w:eastAsia="Arial" w:hAnsi="Arial"/>
                <w:sz w:val="17"/>
                <w:szCs w:val="17"/>
                <w:color w:val="auto"/>
              </w:rPr>
              <w:t>Date:</w:t>
            </w:r>
          </w:p>
        </w:tc>
        <w:tc>
          <w:tcPr>
            <w:tcW w:w="2980" w:type="dxa"/>
            <w:vAlign w:val="bottom"/>
          </w:tcPr>
          <w:p>
            <w:pPr>
              <w:ind w:left="140"/>
              <w:spacing w:after="0"/>
              <w:rPr>
                <w:sz w:val="20"/>
                <w:szCs w:val="20"/>
                <w:color w:val="auto"/>
              </w:rPr>
            </w:pPr>
            <w:r>
              <w:rPr>
                <w:rFonts w:ascii="Arial" w:cs="Arial" w:eastAsia="Arial" w:hAnsi="Arial"/>
                <w:sz w:val="17"/>
                <w:szCs w:val="17"/>
                <w:color w:val="auto"/>
              </w:rPr>
              <w:t>November 4, 2021</w:t>
            </w:r>
          </w:p>
        </w:tc>
        <w:tc>
          <w:tcPr>
            <w:tcW w:w="7500" w:type="dxa"/>
            <w:vAlign w:val="bottom"/>
            <w:gridSpan w:val="2"/>
          </w:tcPr>
          <w:p>
            <w:pPr>
              <w:ind w:left="1540"/>
              <w:spacing w:after="0"/>
              <w:rPr>
                <w:sz w:val="20"/>
                <w:szCs w:val="20"/>
                <w:color w:val="auto"/>
              </w:rPr>
            </w:pPr>
            <w:r>
              <w:rPr>
                <w:rFonts w:ascii="Arial" w:cs="Arial" w:eastAsia="Arial" w:hAnsi="Arial"/>
                <w:sz w:val="17"/>
                <w:szCs w:val="17"/>
                <w:color w:val="auto"/>
              </w:rPr>
              <w:t>By:   /s/ David B. Kagan</w:t>
            </w:r>
          </w:p>
        </w:tc>
      </w:tr>
      <w:tr>
        <w:trPr>
          <w:trHeight w:val="215"/>
        </w:trPr>
        <w:tc>
          <w:tcPr>
            <w:tcW w:w="520" w:type="dxa"/>
            <w:vAlign w:val="bottom"/>
          </w:tcPr>
          <w:p>
            <w:pPr>
              <w:spacing w:after="0"/>
              <w:rPr>
                <w:sz w:val="18"/>
                <w:szCs w:val="18"/>
                <w:color w:val="auto"/>
              </w:rPr>
            </w:pPr>
          </w:p>
        </w:tc>
        <w:tc>
          <w:tcPr>
            <w:tcW w:w="298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5520" w:type="dxa"/>
            <w:vAlign w:val="bottom"/>
            <w:tcBorders>
              <w:top w:val="single" w:sz="8" w:color="auto"/>
            </w:tcBorders>
          </w:tcPr>
          <w:p>
            <w:pPr>
              <w:ind w:left="20"/>
              <w:spacing w:after="0"/>
              <w:rPr>
                <w:sz w:val="20"/>
                <w:szCs w:val="20"/>
                <w:color w:val="auto"/>
              </w:rPr>
            </w:pPr>
            <w:r>
              <w:rPr>
                <w:rFonts w:ascii="Arial" w:cs="Arial" w:eastAsia="Arial" w:hAnsi="Arial"/>
                <w:sz w:val="17"/>
                <w:szCs w:val="17"/>
                <w:color w:val="auto"/>
              </w:rPr>
              <w:t>David B. Kagan</w:t>
            </w:r>
          </w:p>
        </w:tc>
      </w:tr>
      <w:tr>
        <w:trPr>
          <w:trHeight w:val="222"/>
        </w:trPr>
        <w:tc>
          <w:tcPr>
            <w:tcW w:w="520" w:type="dxa"/>
            <w:vAlign w:val="bottom"/>
          </w:tcPr>
          <w:p>
            <w:pPr>
              <w:spacing w:after="0"/>
              <w:rPr>
                <w:sz w:val="19"/>
                <w:szCs w:val="19"/>
                <w:color w:val="auto"/>
              </w:rPr>
            </w:pPr>
          </w:p>
        </w:tc>
        <w:tc>
          <w:tcPr>
            <w:tcW w:w="2980" w:type="dxa"/>
            <w:vAlign w:val="bottom"/>
          </w:tcPr>
          <w:p>
            <w:pPr>
              <w:spacing w:after="0"/>
              <w:rPr>
                <w:sz w:val="19"/>
                <w:szCs w:val="19"/>
                <w:color w:val="auto"/>
              </w:rPr>
            </w:pPr>
          </w:p>
        </w:tc>
        <w:tc>
          <w:tcPr>
            <w:tcW w:w="1980" w:type="dxa"/>
            <w:vAlign w:val="bottom"/>
          </w:tcPr>
          <w:p>
            <w:pPr>
              <w:spacing w:after="0"/>
              <w:rPr>
                <w:sz w:val="19"/>
                <w:szCs w:val="19"/>
                <w:color w:val="auto"/>
              </w:rPr>
            </w:pPr>
          </w:p>
        </w:tc>
        <w:tc>
          <w:tcPr>
            <w:tcW w:w="5520" w:type="dxa"/>
            <w:vAlign w:val="bottom"/>
          </w:tcPr>
          <w:p>
            <w:pPr>
              <w:ind w:left="20"/>
              <w:spacing w:after="0"/>
              <w:rPr>
                <w:sz w:val="20"/>
                <w:szCs w:val="20"/>
                <w:color w:val="auto"/>
              </w:rPr>
            </w:pPr>
            <w:r>
              <w:rPr>
                <w:rFonts w:ascii="Arial" w:cs="Arial" w:eastAsia="Arial" w:hAnsi="Arial"/>
                <w:sz w:val="17"/>
                <w:szCs w:val="17"/>
                <w:i w:val="1"/>
                <w:iCs w:val="1"/>
                <w:color w:val="auto"/>
              </w:rPr>
              <w:t>Chief Executive Officer (Principal Executive Officer)</w:t>
            </w:r>
          </w:p>
        </w:tc>
      </w:tr>
    </w:tbl>
    <w:p>
      <w:pPr>
        <w:sectPr>
          <w:pgSz w:w="11900" w:h="16838" w:orient="portrait"/>
          <w:cols w:equalWidth="0" w:num="1">
            <w:col w:w="11240"/>
          </w:cols>
          <w:pgMar w:left="320" w:top="866" w:right="339" w:bottom="1440" w:gutter="0" w:footer="0" w:header="0"/>
        </w:sectPr>
      </w:pPr>
    </w:p>
    <w:bookmarkStart w:id="39" w:name="page40"/>
    <w:bookmarkEnd w:id="39"/>
    <w:p>
      <w:pPr>
        <w:jc w:val="right"/>
        <w:spacing w:after="0"/>
        <w:rPr>
          <w:sz w:val="20"/>
          <w:szCs w:val="20"/>
          <w:color w:val="auto"/>
        </w:rPr>
      </w:pPr>
      <w:r>
        <w:rPr>
          <w:rFonts w:ascii="Arial" w:cs="Arial" w:eastAsia="Arial" w:hAnsi="Arial"/>
          <w:sz w:val="17"/>
          <w:szCs w:val="17"/>
          <w:b w:val="1"/>
          <w:bCs w:val="1"/>
          <w:color w:val="auto"/>
        </w:rPr>
        <w:t>Exhibit 32.2</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Pursuant to Section 906 of the Sarbanes-Oxley Act of 2002</w:t>
      </w:r>
    </w:p>
    <w:p>
      <w:pPr>
        <w:spacing w:after="0" w:line="255"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Pursuant to section 906 of the Sarbanes-Oxley Act of 2002 (subsections (a) and (b) of Section 1350, Chapter 63 of Title 18, United States Code), the undersigned officer of Globalstar, Inc. (the “Company”), does hereby certify that:</w:t>
      </w:r>
    </w:p>
    <w:p>
      <w:pPr>
        <w:spacing w:after="0" w:line="158"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This quarterly report on Form 10-Q for the quarter ended September 30, 2021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tbl>
      <w:tblPr>
        <w:tblLayout w:type="fixed"/>
        <w:tblInd w:w="20" w:type="dxa"/>
        <w:tblCellMar>
          <w:top w:w="0" w:type="dxa"/>
          <w:left w:w="0" w:type="dxa"/>
          <w:bottom w:w="0" w:type="dxa"/>
          <w:right w:w="0" w:type="dxa"/>
        </w:tblCellMar>
      </w:tblPr>
      <w:tr>
        <w:trPr>
          <w:trHeight w:val="221"/>
        </w:trPr>
        <w:tc>
          <w:tcPr>
            <w:tcW w:w="520" w:type="dxa"/>
            <w:vAlign w:val="bottom"/>
          </w:tcPr>
          <w:p>
            <w:pPr>
              <w:spacing w:after="0"/>
              <w:rPr>
                <w:sz w:val="20"/>
                <w:szCs w:val="20"/>
                <w:color w:val="auto"/>
              </w:rPr>
            </w:pPr>
            <w:r>
              <w:rPr>
                <w:rFonts w:ascii="Arial" w:cs="Arial" w:eastAsia="Arial" w:hAnsi="Arial"/>
                <w:sz w:val="17"/>
                <w:szCs w:val="17"/>
                <w:color w:val="auto"/>
              </w:rPr>
              <w:t>Date:</w:t>
            </w:r>
          </w:p>
        </w:tc>
        <w:tc>
          <w:tcPr>
            <w:tcW w:w="2980" w:type="dxa"/>
            <w:vAlign w:val="bottom"/>
          </w:tcPr>
          <w:p>
            <w:pPr>
              <w:ind w:left="140"/>
              <w:spacing w:after="0"/>
              <w:rPr>
                <w:sz w:val="20"/>
                <w:szCs w:val="20"/>
                <w:color w:val="auto"/>
              </w:rPr>
            </w:pPr>
            <w:r>
              <w:rPr>
                <w:rFonts w:ascii="Arial" w:cs="Arial" w:eastAsia="Arial" w:hAnsi="Arial"/>
                <w:sz w:val="17"/>
                <w:szCs w:val="17"/>
                <w:color w:val="auto"/>
              </w:rPr>
              <w:t>November 4, 2021</w:t>
            </w:r>
          </w:p>
        </w:tc>
        <w:tc>
          <w:tcPr>
            <w:tcW w:w="7500" w:type="dxa"/>
            <w:vAlign w:val="bottom"/>
            <w:gridSpan w:val="2"/>
          </w:tcPr>
          <w:p>
            <w:pPr>
              <w:ind w:left="1540"/>
              <w:spacing w:after="0"/>
              <w:rPr>
                <w:sz w:val="20"/>
                <w:szCs w:val="20"/>
                <w:color w:val="auto"/>
              </w:rPr>
            </w:pPr>
            <w:r>
              <w:rPr>
                <w:rFonts w:ascii="Arial" w:cs="Arial" w:eastAsia="Arial" w:hAnsi="Arial"/>
                <w:sz w:val="17"/>
                <w:szCs w:val="17"/>
                <w:color w:val="auto"/>
              </w:rPr>
              <w:t>By:   /s/ Rebecca S. Clary</w:t>
            </w:r>
          </w:p>
        </w:tc>
      </w:tr>
      <w:tr>
        <w:trPr>
          <w:trHeight w:val="215"/>
        </w:trPr>
        <w:tc>
          <w:tcPr>
            <w:tcW w:w="520" w:type="dxa"/>
            <w:vAlign w:val="bottom"/>
          </w:tcPr>
          <w:p>
            <w:pPr>
              <w:spacing w:after="0"/>
              <w:rPr>
                <w:sz w:val="18"/>
                <w:szCs w:val="18"/>
                <w:color w:val="auto"/>
              </w:rPr>
            </w:pPr>
          </w:p>
        </w:tc>
        <w:tc>
          <w:tcPr>
            <w:tcW w:w="298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5520" w:type="dxa"/>
            <w:vAlign w:val="bottom"/>
            <w:tcBorders>
              <w:top w:val="single" w:sz="8" w:color="auto"/>
            </w:tcBorders>
          </w:tcPr>
          <w:p>
            <w:pPr>
              <w:ind w:left="20"/>
              <w:spacing w:after="0"/>
              <w:rPr>
                <w:sz w:val="20"/>
                <w:szCs w:val="20"/>
                <w:color w:val="auto"/>
              </w:rPr>
            </w:pPr>
            <w:r>
              <w:rPr>
                <w:rFonts w:ascii="Arial" w:cs="Arial" w:eastAsia="Arial" w:hAnsi="Arial"/>
                <w:sz w:val="17"/>
                <w:szCs w:val="17"/>
                <w:color w:val="auto"/>
              </w:rPr>
              <w:t>Rebecca S. Clary</w:t>
            </w:r>
          </w:p>
        </w:tc>
      </w:tr>
      <w:tr>
        <w:trPr>
          <w:trHeight w:val="222"/>
        </w:trPr>
        <w:tc>
          <w:tcPr>
            <w:tcW w:w="520" w:type="dxa"/>
            <w:vAlign w:val="bottom"/>
          </w:tcPr>
          <w:p>
            <w:pPr>
              <w:spacing w:after="0"/>
              <w:rPr>
                <w:sz w:val="19"/>
                <w:szCs w:val="19"/>
                <w:color w:val="auto"/>
              </w:rPr>
            </w:pPr>
          </w:p>
        </w:tc>
        <w:tc>
          <w:tcPr>
            <w:tcW w:w="2980" w:type="dxa"/>
            <w:vAlign w:val="bottom"/>
          </w:tcPr>
          <w:p>
            <w:pPr>
              <w:spacing w:after="0"/>
              <w:rPr>
                <w:sz w:val="19"/>
                <w:szCs w:val="19"/>
                <w:color w:val="auto"/>
              </w:rPr>
            </w:pPr>
          </w:p>
        </w:tc>
        <w:tc>
          <w:tcPr>
            <w:tcW w:w="1980" w:type="dxa"/>
            <w:vAlign w:val="bottom"/>
          </w:tcPr>
          <w:p>
            <w:pPr>
              <w:spacing w:after="0"/>
              <w:rPr>
                <w:sz w:val="19"/>
                <w:szCs w:val="19"/>
                <w:color w:val="auto"/>
              </w:rPr>
            </w:pPr>
          </w:p>
        </w:tc>
        <w:tc>
          <w:tcPr>
            <w:tcW w:w="5520" w:type="dxa"/>
            <w:vAlign w:val="bottom"/>
          </w:tcPr>
          <w:p>
            <w:pPr>
              <w:ind w:left="20"/>
              <w:spacing w:after="0"/>
              <w:rPr>
                <w:sz w:val="20"/>
                <w:szCs w:val="20"/>
                <w:color w:val="auto"/>
              </w:rPr>
            </w:pPr>
            <w:r>
              <w:rPr>
                <w:rFonts w:ascii="Arial" w:cs="Arial" w:eastAsia="Arial" w:hAnsi="Arial"/>
                <w:sz w:val="17"/>
                <w:szCs w:val="17"/>
                <w:i w:val="1"/>
                <w:iCs w:val="1"/>
                <w:color w:val="auto"/>
              </w:rPr>
              <w:t>Chief Financial Officer (Principal Financial Officer)</w:t>
            </w:r>
          </w:p>
        </w:tc>
      </w:tr>
    </w:tbl>
    <w:p>
      <w:pPr>
        <w:spacing w:after="0" w:line="1" w:lineRule="exact"/>
        <w:rPr>
          <w:sz w:val="20"/>
          <w:szCs w:val="20"/>
          <w:color w:val="auto"/>
        </w:rPr>
      </w:pPr>
    </w:p>
    <w:sectPr>
      <w:pgSz w:w="11900" w:h="16838" w:orient="portrait"/>
      <w:cols w:equalWidth="0" w:num="1">
        <w:col w:w="11240"/>
      </w:cols>
      <w:pgMar w:left="320" w:top="866"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1."/>
      <w:numFmt w:val="decimal"/>
      <w:start w:val="2"/>
    </w:lvl>
  </w:abstractNum>
  <w:abstractNum w:abstractNumId="3">
    <w:nsid w:val="79E2A9E3"/>
    <w:multiLevelType w:val="hybridMultilevel"/>
    <w:lvl w:ilvl="0">
      <w:lvlJc w:val="left"/>
      <w:lvlText w:val="%1."/>
      <w:numFmt w:val="decimal"/>
      <w:start w:val="5"/>
    </w:lvl>
  </w:abstractNum>
  <w:abstractNum w:abstractNumId="4">
    <w:nsid w:val="7545E146"/>
    <w:multiLevelType w:val="hybridMultilevel"/>
    <w:lvl w:ilvl="0">
      <w:lvlJc w:val="left"/>
      <w:lvlText w:val="%1."/>
      <w:numFmt w:val="decimal"/>
      <w:start w:val="470"/>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1."/>
      <w:numFmt w:val="decimal"/>
      <w:start w:val="19"/>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1."/>
      <w:numFmt w:val="decimal"/>
      <w:start w:val="1"/>
    </w:lvl>
    <w:lvl w:ilvl="1">
      <w:lvlJc w:val="left"/>
      <w:lvlText w:val="(%2)"/>
      <w:numFmt w:val="lowerLetter"/>
      <w:start w:val="1"/>
    </w:lvl>
  </w:abstractNum>
  <w:abstractNum w:abstractNumId="10">
    <w:nsid w:val="1F16E9E8"/>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5" Type="http://schemas.openxmlformats.org/officeDocument/2006/relationships/image" Target="media/image36.png"/><Relationship Id="rId43" Type="http://schemas.openxmlformats.org/officeDocument/2006/relationships/hyperlink" Target="http://www.sec.gov/Archives/edgar/data/1366868/000136686821000032/a2021proxystmtdef14a.htm#i5b87209ad2fd4733ba287b1294d9db7c_55" TargetMode="External"/><Relationship Id="rId44" Type="http://schemas.openxmlformats.org/officeDocument/2006/relationships/hyperlink" Target="http://www.sec.gov/Archives/edgar/data/1366868/000136686819000034/fourthamendedandrestatedby.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2021-11-04T16:43:41Z</dcterms:created>
  <dcterms:modified xsi:type="dcterms:W3CDTF">2021-11-04T16:43:41Z</dcterms:modified>
</cp:coreProperties>
</file>