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SCHEDULE 14A</w:t>
      </w:r>
    </w:p>
    <w:p>
      <w:pPr>
        <w:spacing w:after="0" w:line="229"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51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71"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9"/>
          <w:szCs w:val="19"/>
          <w:color w:val="auto"/>
        </w:rPr>
        <w:t>☒</w:t>
      </w:r>
    </w:p>
    <w:p>
      <w:pPr>
        <w:spacing w:after="0" w:line="23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93" w:lineRule="exact"/>
        <w:rPr>
          <w:sz w:val="24"/>
          <w:szCs w:val="24"/>
          <w:color w:val="auto"/>
        </w:rPr>
      </w:pPr>
    </w:p>
    <w:p>
      <w:pPr>
        <w:ind w:left="1060" w:hanging="532"/>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1060" w:hanging="532"/>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520"/>
        <w:spacing w:after="0" w:line="219" w:lineRule="exact"/>
        <w:rPr>
          <w:rFonts w:ascii="MS PGothic" w:cs="MS PGothic" w:eastAsia="MS PGothic" w:hAnsi="MS PGothic"/>
          <w:sz w:val="18"/>
          <w:szCs w:val="18"/>
          <w:color w:val="auto"/>
        </w:rPr>
      </w:pPr>
      <w:r>
        <w:rPr>
          <w:rFonts w:ascii="MS PGothic" w:cs="MS PGothic" w:eastAsia="MS PGothic" w:hAnsi="MS PGothic"/>
          <w:sz w:val="19"/>
          <w:szCs w:val="19"/>
          <w:color w:val="auto"/>
        </w:rPr>
        <w:t>☒</w:t>
      </w:r>
      <w:r>
        <w:rPr>
          <w:rFonts w:ascii="Arial" w:cs="Arial" w:eastAsia="Arial" w:hAnsi="Arial"/>
          <w:sz w:val="16"/>
          <w:szCs w:val="16"/>
          <w:color w:val="auto"/>
        </w:rPr>
        <w:t>Definitive Proxy Statement</w:t>
      </w:r>
    </w:p>
    <w:p>
      <w:pPr>
        <w:spacing w:after="0" w:line="98" w:lineRule="exact"/>
        <w:rPr>
          <w:rFonts w:ascii="MS PGothic" w:cs="MS PGothic" w:eastAsia="MS PGothic" w:hAnsi="MS PGothic"/>
          <w:sz w:val="18"/>
          <w:szCs w:val="18"/>
          <w:color w:val="auto"/>
        </w:rPr>
      </w:pPr>
    </w:p>
    <w:p>
      <w:pPr>
        <w:ind w:left="1060" w:hanging="532"/>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1060" w:hanging="532"/>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8"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GLOBALSTAR,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322580</wp:posOffset>
            </wp:positionH>
            <wp:positionV relativeFrom="paragraph">
              <wp:posOffset>31750</wp:posOffset>
            </wp:positionV>
            <wp:extent cx="66205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pacing w:after="0" w:line="57"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322580</wp:posOffset>
            </wp:positionH>
            <wp:positionV relativeFrom="paragraph">
              <wp:posOffset>220980</wp:posOffset>
            </wp:positionV>
            <wp:extent cx="66205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pacing w:after="0" w:line="35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60" w:lineRule="exact"/>
        <w:rPr>
          <w:sz w:val="24"/>
          <w:szCs w:val="24"/>
          <w:color w:val="auto"/>
        </w:rPr>
      </w:pPr>
    </w:p>
    <w:p>
      <w:pPr>
        <w:ind w:left="1060" w:hanging="532"/>
        <w:spacing w:after="0"/>
        <w:tabs>
          <w:tab w:leader="none" w:pos="1060" w:val="left"/>
        </w:tabs>
        <w:numPr>
          <w:ilvl w:val="0"/>
          <w:numId w:val="2"/>
        </w:numPr>
        <w:rPr>
          <w:rFonts w:ascii="MS PGothic" w:cs="MS PGothic" w:eastAsia="MS PGothic" w:hAnsi="MS PGothic"/>
          <w:sz w:val="20"/>
          <w:szCs w:val="20"/>
          <w:color w:val="auto"/>
        </w:rPr>
      </w:pPr>
      <w:r>
        <w:rPr>
          <w:rFonts w:ascii="Arial" w:cs="Arial" w:eastAsia="Arial" w:hAnsi="Arial"/>
          <w:sz w:val="18"/>
          <w:szCs w:val="18"/>
          <w:color w:val="auto"/>
        </w:rPr>
        <w:t>No fee required.</w:t>
      </w:r>
    </w:p>
    <w:p>
      <w:pPr>
        <w:spacing w:after="0" w:line="60" w:lineRule="exact"/>
        <w:rPr>
          <w:sz w:val="24"/>
          <w:szCs w:val="24"/>
          <w:color w:val="auto"/>
        </w:rPr>
      </w:pPr>
    </w:p>
    <w:p>
      <w:pPr>
        <w:ind w:left="1060" w:hanging="532"/>
        <w:spacing w:after="0"/>
        <w:tabs>
          <w:tab w:leader="none" w:pos="10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480" w:hanging="42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480" w:hanging="42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7"/>
          <w:szCs w:val="17"/>
          <w:color w:val="auto"/>
        </w:rPr>
        <w:t>Per unit price or other underlying value of transaction computed pursuant to Exchange Act Rule 0-11 (set forth the amount on</w:t>
      </w:r>
    </w:p>
    <w:p>
      <w:pPr>
        <w:spacing w:after="0" w:line="34" w:lineRule="exact"/>
        <w:rPr>
          <w:rFonts w:ascii="Arial" w:cs="Arial" w:eastAsia="Arial" w:hAnsi="Arial"/>
          <w:sz w:val="18"/>
          <w:szCs w:val="18"/>
          <w:color w:val="auto"/>
        </w:rPr>
      </w:pPr>
    </w:p>
    <w:p>
      <w:pPr>
        <w:ind w:left="1480" w:hanging="42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which the filing fee is calculated and state how it was determined):</w:t>
      </w:r>
    </w:p>
    <w:p>
      <w:pPr>
        <w:spacing w:after="0" w:line="224" w:lineRule="exact"/>
        <w:rPr>
          <w:rFonts w:ascii="Arial" w:cs="Arial" w:eastAsia="Arial" w:hAnsi="Arial"/>
          <w:sz w:val="18"/>
          <w:szCs w:val="18"/>
          <w:color w:val="auto"/>
        </w:rPr>
      </w:pPr>
    </w:p>
    <w:p>
      <w:pPr>
        <w:ind w:left="1480" w:hanging="42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480" w:hanging="42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1060" w:hanging="532"/>
        <w:spacing w:after="0"/>
        <w:tabs>
          <w:tab w:leader="none" w:pos="10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1060" w:hanging="532"/>
        <w:spacing w:after="0" w:line="342" w:lineRule="auto"/>
        <w:tabs>
          <w:tab w:leader="none" w:pos="10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7" w:lineRule="exact"/>
        <w:rPr>
          <w:rFonts w:ascii="MS PGothic" w:cs="MS PGothic" w:eastAsia="MS PGothic" w:hAnsi="MS PGothic"/>
          <w:sz w:val="16"/>
          <w:szCs w:val="16"/>
          <w:color w:val="auto"/>
        </w:rPr>
      </w:pPr>
    </w:p>
    <w:p>
      <w:pPr>
        <w:ind w:left="1480" w:hanging="42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1480" w:hanging="42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480" w:hanging="42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480" w:hanging="42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322580</wp:posOffset>
            </wp:positionH>
            <wp:positionV relativeFrom="paragraph">
              <wp:posOffset>135255</wp:posOffset>
            </wp:positionV>
            <wp:extent cx="6620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-147320</wp:posOffset>
            </wp:positionV>
            <wp:extent cx="6620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-430530</wp:posOffset>
            </wp:positionV>
            <wp:extent cx="6620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-713740</wp:posOffset>
            </wp:positionV>
            <wp:extent cx="6620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-1614170</wp:posOffset>
            </wp:positionV>
            <wp:extent cx="6620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-1896745</wp:posOffset>
            </wp:positionV>
            <wp:extent cx="66205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-2179955</wp:posOffset>
            </wp:positionV>
            <wp:extent cx="66205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-2600325</wp:posOffset>
            </wp:positionV>
            <wp:extent cx="66205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-2882900</wp:posOffset>
            </wp:positionV>
            <wp:extent cx="66205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ectPr>
          <w:pgSz w:w="11900" w:h="16838" w:orient="portrait"/>
          <w:cols w:equalWidth="0" w:num="1">
            <w:col w:w="10900"/>
          </w:cols>
          <w:pgMar w:left="240" w:top="229" w:right="7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1351 Holiday Square Blvd.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Covington, LA 70433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29,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It is my pleasure to invite you to attend the 2019 Annual Meeting of Stockholders of Globalstar, Inc. The meeting will be held at our headquarters at 1351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Holiday Square Blvd., Covington, LA 70433 at 10 a.m. Central Time on May 29, 2019. At the meeting, you will be asked to:</w:t>
      </w:r>
    </w:p>
    <w:p>
      <w:pPr>
        <w:spacing w:after="0" w:line="211" w:lineRule="exact"/>
        <w:rPr>
          <w:sz w:val="20"/>
          <w:szCs w:val="20"/>
          <w:color w:val="auto"/>
        </w:rPr>
      </w:pPr>
    </w:p>
    <w:p>
      <w:pPr>
        <w:ind w:left="1180" w:hanging="632"/>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Keith O. Cowan and Benjamin G. Wolff as our two Class A Directors;</w:t>
      </w:r>
    </w:p>
    <w:p>
      <w:pPr>
        <w:spacing w:after="0" w:line="184" w:lineRule="exact"/>
        <w:rPr>
          <w:rFonts w:ascii="Arial" w:cs="Arial" w:eastAsia="Arial" w:hAnsi="Arial"/>
          <w:sz w:val="18"/>
          <w:szCs w:val="18"/>
          <w:color w:val="auto"/>
        </w:rPr>
      </w:pPr>
    </w:p>
    <w:p>
      <w:pPr>
        <w:ind w:left="1180" w:hanging="632"/>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selection of Crowe LLP as our independent registered public accounting firm for the year ending December 31, 2019;</w:t>
      </w:r>
    </w:p>
    <w:p>
      <w:pPr>
        <w:spacing w:after="0" w:line="184" w:lineRule="exact"/>
        <w:rPr>
          <w:rFonts w:ascii="Arial" w:cs="Arial" w:eastAsia="Arial" w:hAnsi="Arial"/>
          <w:sz w:val="18"/>
          <w:szCs w:val="18"/>
          <w:color w:val="auto"/>
        </w:rPr>
      </w:pPr>
    </w:p>
    <w:p>
      <w:pPr>
        <w:ind w:left="1180" w:hanging="632"/>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the Third Amended and Restated Globalstar, Inc. 2006 Equity Incentive Plan;</w:t>
      </w:r>
    </w:p>
    <w:p>
      <w:pPr>
        <w:spacing w:after="0" w:line="184" w:lineRule="exact"/>
        <w:rPr>
          <w:rFonts w:ascii="Arial" w:cs="Arial" w:eastAsia="Arial" w:hAnsi="Arial"/>
          <w:sz w:val="18"/>
          <w:szCs w:val="18"/>
          <w:color w:val="auto"/>
        </w:rPr>
      </w:pPr>
    </w:p>
    <w:p>
      <w:pPr>
        <w:ind w:left="1180" w:hanging="632"/>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the Amended and Restated Globalstar, Inc. Employee Stock Purchase Plan; and</w:t>
      </w:r>
    </w:p>
    <w:p>
      <w:pPr>
        <w:spacing w:after="0" w:line="184" w:lineRule="exact"/>
        <w:rPr>
          <w:rFonts w:ascii="Arial" w:cs="Arial" w:eastAsia="Arial" w:hAnsi="Arial"/>
          <w:sz w:val="18"/>
          <w:szCs w:val="18"/>
          <w:color w:val="auto"/>
        </w:rPr>
      </w:pPr>
    </w:p>
    <w:p>
      <w:pPr>
        <w:ind w:left="1180" w:hanging="632"/>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Consider any other matters that may properly be brought before the meeting.</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pleased to take advantage of Securities and Exchange Commission rules that allow us to furnish our proxy materials via the Internet. As a result, we are sending our stockholders a Notice of Internet Availability of Proxy Materials instead of paper copies of this proxy statement and our 2018 Annual Report. The Notice contains instructions on how to access and review those documents using the Internet. The Notice also instructs you on how to submit your proxy using the Internet or by phone. If you would like to receive a printed copy of our proxy materials, you should follow the instructions for requesting them included in the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w:t>
      </w:r>
      <w:r>
        <w:rPr>
          <w:rFonts w:ascii="Arial" w:cs="Arial" w:eastAsia="Arial" w:hAnsi="Arial"/>
          <w:sz w:val="18"/>
          <w:szCs w:val="18"/>
          <w:color w:val="auto"/>
        </w:rPr>
        <w:t>.</w:t>
      </w:r>
      <w:r>
        <w:rPr>
          <w:rFonts w:ascii="Arial" w:cs="Arial" w:eastAsia="Arial" w:hAnsi="Arial"/>
          <w:sz w:val="18"/>
          <w:szCs w:val="18"/>
          <w:b w:val="1"/>
          <w:bCs w:val="1"/>
          <w:color w:val="auto"/>
        </w:rPr>
        <w:t xml:space="preserve"> To ensure that your shares are voted at the meeting, we encourage you to act promptly.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look forward to seeing you at the meeting.</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14605</wp:posOffset>
            </wp:positionV>
            <wp:extent cx="1235075"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50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James Monroe III</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Executive 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Covington,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16, 2019</w:t>
      </w:r>
    </w:p>
    <w:p>
      <w:pPr>
        <w:spacing w:after="0" w:line="9" w:lineRule="exact"/>
        <w:rPr>
          <w:sz w:val="20"/>
          <w:szCs w:val="20"/>
          <w:color w:val="auto"/>
        </w:rPr>
      </w:pPr>
    </w:p>
    <w:p>
      <w:pPr>
        <w:jc w:val="center"/>
        <w:ind w:left="260" w:right="2760"/>
        <w:spacing w:after="0" w:line="255"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29, 2019 The proxy statement and annual report are available at www.globalstar.com.</w:t>
      </w:r>
    </w:p>
    <w:p>
      <w:pPr>
        <w:sectPr>
          <w:pgSz w:w="11900" w:h="16838" w:orient="portrait"/>
          <w:cols w:equalWidth="0" w:num="1">
            <w:col w:w="11420"/>
          </w:cols>
          <w:pgMar w:left="240" w:top="41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about the Meeting, Voting and Attendance</w:t>
            </w:r>
          </w:p>
        </w:tc>
        <w:tc>
          <w:tcPr>
            <w:tcW w:w="160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r>
      <w:tr>
        <w:trPr>
          <w:trHeight w:val="203"/>
        </w:trPr>
        <w:tc>
          <w:tcPr>
            <w:tcW w:w="9260" w:type="dxa"/>
            <w:vAlign w:val="bottom"/>
          </w:tcPr>
          <w:p>
            <w:pPr>
              <w:ind w:left="40"/>
              <w:spacing w:after="0" w:line="202" w:lineRule="exact"/>
              <w:rPr>
                <w:sz w:val="20"/>
                <w:szCs w:val="20"/>
                <w:color w:val="auto"/>
              </w:rPr>
            </w:pPr>
            <w:r>
              <w:rPr>
                <w:rFonts w:ascii="Arial" w:cs="Arial" w:eastAsia="Arial" w:hAnsi="Arial"/>
                <w:sz w:val="18"/>
                <w:szCs w:val="18"/>
                <w:color w:val="auto"/>
              </w:rPr>
              <w:t>Security Ownership of Principal Stockholders and Management</w:t>
            </w:r>
          </w:p>
        </w:tc>
        <w:tc>
          <w:tcPr>
            <w:tcW w:w="1740" w:type="dxa"/>
            <w:vAlign w:val="bottom"/>
            <w:gridSpan w:val="4"/>
          </w:tcPr>
          <w:p>
            <w:pPr>
              <w:jc w:val="center"/>
              <w:ind w:left="1470"/>
              <w:spacing w:after="0" w:line="20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4</w:t>
              </w:r>
            </w:hyperlink>
          </w:p>
        </w:tc>
        <w:tc>
          <w:tcPr>
            <w:tcW w:w="420" w:type="dxa"/>
            <w:vAlign w:val="bottom"/>
          </w:tcPr>
          <w:p>
            <w:pPr>
              <w:spacing w:after="0"/>
              <w:rPr>
                <w:sz w:val="17"/>
                <w:szCs w:val="17"/>
                <w:color w:val="auto"/>
              </w:rPr>
            </w:pPr>
          </w:p>
        </w:tc>
      </w:tr>
      <w:tr>
        <w:trPr>
          <w:trHeight w:val="48"/>
        </w:trPr>
        <w:tc>
          <w:tcPr>
            <w:tcW w:w="9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92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Discussion of Proposals to be Voted On</w:t>
            </w:r>
          </w:p>
        </w:tc>
        <w:tc>
          <w:tcPr>
            <w:tcW w:w="16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center"/>
              <w:spacing w:after="0" w:line="20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6</w:t>
              </w:r>
            </w:hyperlink>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03"/>
        </w:trPr>
        <w:tc>
          <w:tcPr>
            <w:tcW w:w="9260" w:type="dxa"/>
            <w:vAlign w:val="bottom"/>
          </w:tcPr>
          <w:p>
            <w:pPr>
              <w:ind w:left="380"/>
              <w:spacing w:after="0" w:line="202" w:lineRule="exact"/>
              <w:rPr>
                <w:sz w:val="20"/>
                <w:szCs w:val="20"/>
                <w:color w:val="auto"/>
              </w:rPr>
            </w:pPr>
            <w:r>
              <w:rPr>
                <w:rFonts w:ascii="Arial" w:cs="Arial" w:eastAsia="Arial" w:hAnsi="Arial"/>
                <w:sz w:val="18"/>
                <w:szCs w:val="18"/>
                <w:color w:val="auto"/>
              </w:rPr>
              <w:t>Proposal 1: Election of Directors</w:t>
            </w:r>
          </w:p>
        </w:tc>
        <w:tc>
          <w:tcPr>
            <w:tcW w:w="1740" w:type="dxa"/>
            <w:vAlign w:val="bottom"/>
            <w:gridSpan w:val="4"/>
          </w:tcPr>
          <w:p>
            <w:pPr>
              <w:jc w:val="center"/>
              <w:ind w:left="1470"/>
              <w:spacing w:after="0" w:line="20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6</w:t>
              </w:r>
            </w:hyperlink>
          </w:p>
        </w:tc>
        <w:tc>
          <w:tcPr>
            <w:tcW w:w="420" w:type="dxa"/>
            <w:vAlign w:val="bottom"/>
          </w:tcPr>
          <w:p>
            <w:pPr>
              <w:spacing w:after="0"/>
              <w:rPr>
                <w:sz w:val="17"/>
                <w:szCs w:val="17"/>
                <w:color w:val="auto"/>
              </w:rPr>
            </w:pPr>
          </w:p>
        </w:tc>
      </w:tr>
      <w:tr>
        <w:trPr>
          <w:trHeight w:val="48"/>
        </w:trPr>
        <w:tc>
          <w:tcPr>
            <w:tcW w:w="9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9260" w:type="dxa"/>
            <w:vAlign w:val="bottom"/>
            <w:tcBorders>
              <w:bottom w:val="single" w:sz="8" w:color="CCEEFF"/>
            </w:tcBorders>
            <w:shd w:val="clear" w:color="auto" w:fill="CCEEFF"/>
          </w:tcPr>
          <w:p>
            <w:pPr>
              <w:ind w:left="380"/>
              <w:spacing w:after="0" w:line="202" w:lineRule="exact"/>
              <w:rPr>
                <w:sz w:val="20"/>
                <w:szCs w:val="20"/>
                <w:color w:val="auto"/>
              </w:rPr>
            </w:pPr>
            <w:r>
              <w:rPr>
                <w:rFonts w:ascii="Arial" w:cs="Arial" w:eastAsia="Arial" w:hAnsi="Arial"/>
                <w:sz w:val="18"/>
                <w:szCs w:val="18"/>
                <w:color w:val="auto"/>
              </w:rPr>
              <w:t>Proposal 2: Ratification of Independent Registered Public Accounting Firm</w:t>
            </w:r>
          </w:p>
        </w:tc>
        <w:tc>
          <w:tcPr>
            <w:tcW w:w="16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center"/>
              <w:spacing w:after="0" w:line="202"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9</w:t>
              </w:r>
            </w:hyperlink>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03"/>
        </w:trPr>
        <w:tc>
          <w:tcPr>
            <w:tcW w:w="9260" w:type="dxa"/>
            <w:vAlign w:val="bottom"/>
          </w:tcPr>
          <w:p>
            <w:pPr>
              <w:ind w:left="380"/>
              <w:spacing w:after="0" w:line="202" w:lineRule="exact"/>
              <w:rPr>
                <w:sz w:val="20"/>
                <w:szCs w:val="20"/>
                <w:color w:val="auto"/>
              </w:rPr>
            </w:pPr>
            <w:r>
              <w:rPr>
                <w:rFonts w:ascii="Arial" w:cs="Arial" w:eastAsia="Arial" w:hAnsi="Arial"/>
                <w:sz w:val="18"/>
                <w:szCs w:val="18"/>
                <w:color w:val="auto"/>
              </w:rPr>
              <w:t>Proposal 3: Approval of the Third Amended and Restated Globalstar, Inc. 2006 Equity Incentive Plan</w:t>
            </w:r>
          </w:p>
        </w:tc>
        <w:tc>
          <w:tcPr>
            <w:tcW w:w="1740" w:type="dxa"/>
            <w:vAlign w:val="bottom"/>
            <w:gridSpan w:val="4"/>
          </w:tcPr>
          <w:p>
            <w:pPr>
              <w:jc w:val="center"/>
              <w:ind w:left="1470"/>
              <w:spacing w:after="0" w:line="202"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9</w:t>
              </w:r>
            </w:hyperlink>
          </w:p>
        </w:tc>
        <w:tc>
          <w:tcPr>
            <w:tcW w:w="420" w:type="dxa"/>
            <w:vAlign w:val="bottom"/>
          </w:tcPr>
          <w:p>
            <w:pPr>
              <w:spacing w:after="0"/>
              <w:rPr>
                <w:sz w:val="17"/>
                <w:szCs w:val="17"/>
                <w:color w:val="auto"/>
              </w:rPr>
            </w:pPr>
          </w:p>
        </w:tc>
      </w:tr>
      <w:tr>
        <w:trPr>
          <w:trHeight w:val="48"/>
        </w:trPr>
        <w:tc>
          <w:tcPr>
            <w:tcW w:w="9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92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Proposal 4: Approval of the Amended and Restated Globalstar, Inc. Employee Stock Purchase Plan</w:t>
            </w:r>
          </w:p>
        </w:tc>
        <w:tc>
          <w:tcPr>
            <w:tcW w:w="1740" w:type="dxa"/>
            <w:vAlign w:val="bottom"/>
            <w:gridSpan w:val="4"/>
            <w:shd w:val="clear" w:color="auto" w:fill="CCEEFF"/>
          </w:tcPr>
          <w:p>
            <w:pPr>
              <w:jc w:val="center"/>
              <w:ind w:left="1470"/>
              <w:spacing w:after="0" w:line="20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12</w:t>
              </w:r>
            </w:hyperlink>
          </w:p>
        </w:tc>
        <w:tc>
          <w:tcPr>
            <w:tcW w:w="420" w:type="dxa"/>
            <w:vAlign w:val="bottom"/>
            <w:shd w:val="clear" w:color="auto" w:fill="CCEEFF"/>
          </w:tcPr>
          <w:p>
            <w:pPr>
              <w:spacing w:after="0"/>
              <w:rPr>
                <w:sz w:val="17"/>
                <w:szCs w:val="17"/>
                <w:color w:val="auto"/>
              </w:rPr>
            </w:pPr>
          </w:p>
        </w:tc>
      </w:tr>
      <w:tr>
        <w:trPr>
          <w:trHeight w:val="48"/>
        </w:trPr>
        <w:tc>
          <w:tcPr>
            <w:tcW w:w="92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9260" w:type="dxa"/>
            <w:vAlign w:val="bottom"/>
          </w:tcPr>
          <w:p>
            <w:pPr>
              <w:ind w:left="40"/>
              <w:spacing w:after="0" w:line="202" w:lineRule="exact"/>
              <w:rPr>
                <w:sz w:val="20"/>
                <w:szCs w:val="20"/>
                <w:color w:val="auto"/>
              </w:rPr>
            </w:pPr>
            <w:r>
              <w:rPr>
                <w:rFonts w:ascii="Arial" w:cs="Arial" w:eastAsia="Arial" w:hAnsi="Arial"/>
                <w:sz w:val="18"/>
                <w:szCs w:val="18"/>
                <w:color w:val="auto"/>
              </w:rPr>
              <w:t>Information about the Board and its Committees</w:t>
            </w:r>
          </w:p>
        </w:tc>
        <w:tc>
          <w:tcPr>
            <w:tcW w:w="1740" w:type="dxa"/>
            <w:vAlign w:val="bottom"/>
            <w:gridSpan w:val="4"/>
          </w:tcPr>
          <w:p>
            <w:pPr>
              <w:jc w:val="center"/>
              <w:ind w:left="1470"/>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14</w:t>
              </w:r>
            </w:hyperlink>
          </w:p>
        </w:tc>
        <w:tc>
          <w:tcPr>
            <w:tcW w:w="420" w:type="dxa"/>
            <w:vAlign w:val="bottom"/>
          </w:tcPr>
          <w:p>
            <w:pPr>
              <w:spacing w:after="0"/>
              <w:rPr>
                <w:sz w:val="17"/>
                <w:szCs w:val="17"/>
                <w:color w:val="auto"/>
              </w:rPr>
            </w:pPr>
          </w:p>
        </w:tc>
      </w:tr>
      <w:tr>
        <w:trPr>
          <w:trHeight w:val="48"/>
        </w:trPr>
        <w:tc>
          <w:tcPr>
            <w:tcW w:w="9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9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Compensation of Directors</w:t>
            </w:r>
          </w:p>
        </w:tc>
        <w:tc>
          <w:tcPr>
            <w:tcW w:w="1740" w:type="dxa"/>
            <w:vAlign w:val="bottom"/>
            <w:gridSpan w:val="4"/>
            <w:shd w:val="clear" w:color="auto" w:fill="CCEEFF"/>
          </w:tcPr>
          <w:p>
            <w:pPr>
              <w:jc w:val="center"/>
              <w:ind w:left="1470"/>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c>
          <w:tcPr>
            <w:tcW w:w="420" w:type="dxa"/>
            <w:vAlign w:val="bottom"/>
            <w:shd w:val="clear" w:color="auto" w:fill="CCEEFF"/>
          </w:tcPr>
          <w:p>
            <w:pPr>
              <w:spacing w:after="0"/>
              <w:rPr>
                <w:sz w:val="17"/>
                <w:szCs w:val="17"/>
                <w:color w:val="auto"/>
              </w:rPr>
            </w:pPr>
          </w:p>
        </w:tc>
      </w:tr>
      <w:tr>
        <w:trPr>
          <w:trHeight w:val="48"/>
        </w:trPr>
        <w:tc>
          <w:tcPr>
            <w:tcW w:w="92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9260" w:type="dxa"/>
            <w:vAlign w:val="bottom"/>
          </w:tcPr>
          <w:p>
            <w:pPr>
              <w:ind w:left="40"/>
              <w:spacing w:after="0" w:line="202" w:lineRule="exact"/>
              <w:rPr>
                <w:sz w:val="20"/>
                <w:szCs w:val="20"/>
                <w:color w:val="auto"/>
              </w:rPr>
            </w:pPr>
            <w:r>
              <w:rPr>
                <w:rFonts w:ascii="Arial" w:cs="Arial" w:eastAsia="Arial" w:hAnsi="Arial"/>
                <w:sz w:val="18"/>
                <w:szCs w:val="18"/>
                <w:color w:val="auto"/>
              </w:rPr>
              <w:t>Executive Officers</w:t>
            </w:r>
          </w:p>
        </w:tc>
        <w:tc>
          <w:tcPr>
            <w:tcW w:w="1740" w:type="dxa"/>
            <w:vAlign w:val="bottom"/>
            <w:gridSpan w:val="4"/>
          </w:tcPr>
          <w:p>
            <w:pPr>
              <w:jc w:val="center"/>
              <w:ind w:left="147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420" w:type="dxa"/>
            <w:vAlign w:val="bottom"/>
          </w:tcPr>
          <w:p>
            <w:pPr>
              <w:spacing w:after="0"/>
              <w:rPr>
                <w:sz w:val="17"/>
                <w:szCs w:val="17"/>
                <w:color w:val="auto"/>
              </w:rPr>
            </w:pPr>
          </w:p>
        </w:tc>
      </w:tr>
      <w:tr>
        <w:trPr>
          <w:trHeight w:val="48"/>
        </w:trPr>
        <w:tc>
          <w:tcPr>
            <w:tcW w:w="9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9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Compensation of Executive Officers</w:t>
            </w:r>
          </w:p>
        </w:tc>
        <w:tc>
          <w:tcPr>
            <w:tcW w:w="1740" w:type="dxa"/>
            <w:vAlign w:val="bottom"/>
            <w:gridSpan w:val="4"/>
            <w:shd w:val="clear" w:color="auto" w:fill="CCEEFF"/>
          </w:tcPr>
          <w:p>
            <w:pPr>
              <w:jc w:val="center"/>
              <w:ind w:left="147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420" w:type="dxa"/>
            <w:vAlign w:val="bottom"/>
            <w:shd w:val="clear" w:color="auto" w:fill="CCEEFF"/>
          </w:tcPr>
          <w:p>
            <w:pPr>
              <w:spacing w:after="0"/>
              <w:rPr>
                <w:sz w:val="17"/>
                <w:szCs w:val="17"/>
                <w:color w:val="auto"/>
              </w:rPr>
            </w:pPr>
          </w:p>
        </w:tc>
      </w:tr>
      <w:tr>
        <w:trPr>
          <w:trHeight w:val="48"/>
        </w:trPr>
        <w:tc>
          <w:tcPr>
            <w:tcW w:w="92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9260" w:type="dxa"/>
            <w:vAlign w:val="bottom"/>
          </w:tcPr>
          <w:p>
            <w:pPr>
              <w:ind w:left="360"/>
              <w:spacing w:after="0" w:line="202" w:lineRule="exact"/>
              <w:rPr>
                <w:sz w:val="20"/>
                <w:szCs w:val="20"/>
                <w:color w:val="auto"/>
              </w:rPr>
            </w:pPr>
            <w:r>
              <w:rPr>
                <w:rFonts w:ascii="Arial" w:cs="Arial" w:eastAsia="Arial" w:hAnsi="Arial"/>
                <w:sz w:val="18"/>
                <w:szCs w:val="18"/>
                <w:color w:val="auto"/>
              </w:rPr>
              <w:t>Compensation Discussion and Analysis</w:t>
            </w:r>
          </w:p>
        </w:tc>
        <w:tc>
          <w:tcPr>
            <w:tcW w:w="1740" w:type="dxa"/>
            <w:vAlign w:val="bottom"/>
            <w:gridSpan w:val="4"/>
          </w:tcPr>
          <w:p>
            <w:pPr>
              <w:jc w:val="center"/>
              <w:ind w:left="147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420" w:type="dxa"/>
            <w:vAlign w:val="bottom"/>
          </w:tcPr>
          <w:p>
            <w:pPr>
              <w:spacing w:after="0"/>
              <w:rPr>
                <w:sz w:val="17"/>
                <w:szCs w:val="17"/>
                <w:color w:val="auto"/>
              </w:rPr>
            </w:pPr>
          </w:p>
        </w:tc>
      </w:tr>
      <w:tr>
        <w:trPr>
          <w:trHeight w:val="48"/>
        </w:trPr>
        <w:tc>
          <w:tcPr>
            <w:tcW w:w="9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9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Compensation Tables</w:t>
            </w:r>
          </w:p>
        </w:tc>
        <w:tc>
          <w:tcPr>
            <w:tcW w:w="1740" w:type="dxa"/>
            <w:vAlign w:val="bottom"/>
            <w:gridSpan w:val="4"/>
            <w:shd w:val="clear" w:color="auto" w:fill="CCEEFF"/>
          </w:tcPr>
          <w:p>
            <w:pPr>
              <w:jc w:val="center"/>
              <w:ind w:left="1470"/>
              <w:spacing w:after="0" w:line="20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23</w:t>
              </w:r>
            </w:hyperlink>
          </w:p>
        </w:tc>
        <w:tc>
          <w:tcPr>
            <w:tcW w:w="420" w:type="dxa"/>
            <w:vAlign w:val="bottom"/>
            <w:shd w:val="clear" w:color="auto" w:fill="CCEEFF"/>
          </w:tcPr>
          <w:p>
            <w:pPr>
              <w:spacing w:after="0"/>
              <w:rPr>
                <w:sz w:val="17"/>
                <w:szCs w:val="17"/>
                <w:color w:val="auto"/>
              </w:rPr>
            </w:pPr>
          </w:p>
        </w:tc>
      </w:tr>
      <w:tr>
        <w:trPr>
          <w:trHeight w:val="48"/>
        </w:trPr>
        <w:tc>
          <w:tcPr>
            <w:tcW w:w="92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9260" w:type="dxa"/>
            <w:vAlign w:val="bottom"/>
          </w:tcPr>
          <w:p>
            <w:pPr>
              <w:ind w:left="40"/>
              <w:spacing w:after="0" w:line="202" w:lineRule="exact"/>
              <w:rPr>
                <w:sz w:val="20"/>
                <w:szCs w:val="20"/>
                <w:color w:val="auto"/>
              </w:rPr>
            </w:pPr>
            <w:r>
              <w:rPr>
                <w:rFonts w:ascii="Arial" w:cs="Arial" w:eastAsia="Arial" w:hAnsi="Arial"/>
                <w:sz w:val="18"/>
                <w:szCs w:val="18"/>
                <w:color w:val="auto"/>
              </w:rPr>
              <w:t>2018 Pay Ratio</w:t>
            </w:r>
          </w:p>
        </w:tc>
        <w:tc>
          <w:tcPr>
            <w:tcW w:w="1740" w:type="dxa"/>
            <w:vAlign w:val="bottom"/>
            <w:gridSpan w:val="4"/>
          </w:tcPr>
          <w:p>
            <w:pPr>
              <w:jc w:val="center"/>
              <w:ind w:left="147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c>
          <w:tcPr>
            <w:tcW w:w="420" w:type="dxa"/>
            <w:vAlign w:val="bottom"/>
          </w:tcPr>
          <w:p>
            <w:pPr>
              <w:spacing w:after="0"/>
              <w:rPr>
                <w:sz w:val="17"/>
                <w:szCs w:val="17"/>
                <w:color w:val="auto"/>
              </w:rPr>
            </w:pPr>
          </w:p>
        </w:tc>
      </w:tr>
      <w:tr>
        <w:trPr>
          <w:trHeight w:val="48"/>
        </w:trPr>
        <w:tc>
          <w:tcPr>
            <w:tcW w:w="9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9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Other Information</w:t>
            </w:r>
          </w:p>
        </w:tc>
        <w:tc>
          <w:tcPr>
            <w:tcW w:w="1740" w:type="dxa"/>
            <w:vAlign w:val="bottom"/>
            <w:gridSpan w:val="4"/>
            <w:shd w:val="clear" w:color="auto" w:fill="CCEEFF"/>
          </w:tcPr>
          <w:p>
            <w:pPr>
              <w:jc w:val="center"/>
              <w:ind w:left="147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c>
          <w:tcPr>
            <w:tcW w:w="420" w:type="dxa"/>
            <w:vAlign w:val="bottom"/>
            <w:shd w:val="clear" w:color="auto" w:fill="CCEEFF"/>
          </w:tcPr>
          <w:p>
            <w:pPr>
              <w:spacing w:after="0"/>
              <w:rPr>
                <w:sz w:val="17"/>
                <w:szCs w:val="17"/>
                <w:color w:val="auto"/>
              </w:rPr>
            </w:pPr>
          </w:p>
        </w:tc>
      </w:tr>
      <w:tr>
        <w:trPr>
          <w:trHeight w:val="48"/>
        </w:trPr>
        <w:tc>
          <w:tcPr>
            <w:tcW w:w="92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41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PRELIMINARY PROXY STATEMENT - SUBJECT TO COMPLETION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29, 2019</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ABOUT THE MEETING, VOTING AND ATTENDANCE</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Globalstar, Inc. (“we,” “us,” “Globalstar,” or the “Company”) is providing you with this proxy statement and the related form of proxy because our Board of Directors (the “Board”) is soliciting your proxy to vote your stock at our 2019 Annual Meeting of Stockholders (the “Annual Meeting”). At the Annual Meeting, stockholders will be asked to elect two Class A Directors; ratify the selection of Crowe LLP as our independent registered public accounting firm; approve our Third Amended and Restated Globalstar, Inc. 2006 Equity Incentive Plan; approve the Amended and Restated Globalstar, Inc. Employee Stock Purchase Plan; and consider any other matters that may properly be brought before the meeting. You are invited to attend the Annual Meeting, where you may vote your stock in person. However, whether or not you attend the Annual Meeting, you may vote by proxy as described on the next page.</w:t>
      </w:r>
    </w:p>
    <w:p>
      <w:pPr>
        <w:spacing w:after="0" w:line="16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Similar to previous years, we are furnishing our proxy materials via the Internet. We expect to begin mailing the notice card on or about April 16, 2019 to stockholders of record at the close of business on April 2, 2019 (the “Record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Only holders of our voting common stock at the close of business on the Record Date are entitled to vote at the Annual Meeting. On the Record Date, there were 1,450,069,483 shares of voting common stock outstanding and entitled to vote. Each share of voting common stock that you owned as of the Record Date entitles you to one vote on each matter to be voted at the Annual Meeting. However, the Thermo Companies and their affiliates may not vote shares they own on the election of the Class A Directors.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accordance with the rules of the Securities and Exchange Commission (“SEC”), instead of mailing a printed copy of our proxy materials to each stockholder of record, we intend to furnish our proxy materials, including this proxy statement and our 2018 annual report to stockholders, by providing access to these documents on the Internet. Generally, stockholders will not receive printed copies of the proxy materials unless they request them.</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mailed a Notice of Annual Meeting of Stockholders and Internet Availability of Proxy Materials (“Notice”) to registered stockholders. The Notice provides instructions to registered stockholders for accessing our proxy materials and for voting their shares of common stock on the Internet. If you are a registered stockholder and prefer to receive a paper or email copy of our proxy materials, you should follow the instructions provided in the Notice for requesting those materials.</w:t>
      </w:r>
    </w:p>
    <w:p>
      <w:pPr>
        <w:spacing w:after="0" w:line="18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Stockholders of record can vote before or at the Annual Meeting in any one of the four ways described below. When you vote on the Internet or by telephone or proxy card, you are authorizing the persons named on the proxy form (the management proxies) to vote your shares in the manner you direct.</w:t>
      </w:r>
    </w:p>
    <w:p>
      <w:pPr>
        <w:spacing w:after="0" w:line="1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By Internet</w:t>
      </w:r>
      <w:r>
        <w:rPr>
          <w:rFonts w:ascii="Arial" w:cs="Arial" w:eastAsia="Arial" w:hAnsi="Arial"/>
          <w:sz w:val="18"/>
          <w:szCs w:val="18"/>
          <w:color w:val="auto"/>
        </w:rPr>
        <w:t xml:space="preserve"> - You may vote on the Internet at www.proxyvote.com. The Notice sent to you describes how to do this.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By Telephone</w:t>
      </w:r>
      <w:r>
        <w:rPr>
          <w:rFonts w:ascii="Arial" w:cs="Arial" w:eastAsia="Arial" w:hAnsi="Arial"/>
          <w:sz w:val="18"/>
          <w:szCs w:val="18"/>
          <w:color w:val="auto"/>
        </w:rPr>
        <w:t xml:space="preserve"> - You can vote by telephone only if you request and receive a paper copy of the proxy materials and proxy card. The Notice describes how to do this; you must make your request for materials by May 15, 2019.</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By Mail</w:t>
      </w:r>
      <w:r>
        <w:rPr>
          <w:rFonts w:ascii="Arial" w:cs="Arial" w:eastAsia="Arial" w:hAnsi="Arial"/>
          <w:sz w:val="18"/>
          <w:szCs w:val="18"/>
          <w:color w:val="auto"/>
        </w:rPr>
        <w:t xml:space="preserve"> - You can vote by mail only if you request and receive a paper copy of the proxy materials and proxy card. The Notice provides instructions on how to do this; you must make your request for materials by May 15, 2019. You then vote by completing, signing, dating, and timely returning a proxy card.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 Person</w:t>
      </w:r>
      <w:r>
        <w:rPr>
          <w:rFonts w:ascii="Arial" w:cs="Arial" w:eastAsia="Arial" w:hAnsi="Arial"/>
          <w:sz w:val="18"/>
          <w:szCs w:val="18"/>
          <w:color w:val="auto"/>
        </w:rPr>
        <w:t xml:space="preserve"> - You may come to the Annual Meeting and cast your vote there.</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beneficial stockholders (with shares held in street name), the Notice, which has been forwarded to you by your broker, bank or other holder of record (nominee), directs you to the Internet site where you will find our proxy materials. Your nominee has also provided instructions on how you may request a paper or email copy of our proxy materials and how you may provide voting instructions to your nominee. Beneficial owners are also invited to attend the Annual Meeting. However, since you are not the stockholder of record, you may not vote your shares in person at the Annual Meeting unless you follow your broker's procedures for obtaining legal proxy.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Authority of Management Proxies</w:t>
      </w:r>
    </w:p>
    <w:p>
      <w:pPr>
        <w:spacing w:after="0" w:line="229" w:lineRule="exact"/>
        <w:rPr>
          <w:sz w:val="20"/>
          <w:szCs w:val="20"/>
          <w:color w:val="auto"/>
        </w:rPr>
      </w:pPr>
    </w:p>
    <w:p>
      <w:pPr>
        <w:jc w:val="both"/>
        <w:ind w:firstLine="376"/>
        <w:spacing w:after="0" w:line="264" w:lineRule="auto"/>
        <w:rPr>
          <w:sz w:val="20"/>
          <w:szCs w:val="20"/>
          <w:color w:val="auto"/>
        </w:rPr>
      </w:pPr>
      <w:r>
        <w:rPr>
          <w:rFonts w:ascii="Arial" w:cs="Arial" w:eastAsia="Arial" w:hAnsi="Arial"/>
          <w:sz w:val="18"/>
          <w:szCs w:val="18"/>
          <w:color w:val="auto"/>
        </w:rPr>
        <w:t>Whether you hold your shares of record or in street name, your proxy vote authorizes the management proxies to vote as directed by you. If you are a stockholder of record and you send in a properly executed proxy card without specific voting instructions, your shares of common stock represented by the proxy will be voted as recommended by the Board, namely: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4" w:name="page5"/>
    <w:bookmarkEnd w:id="4"/>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election of the two nominees for Class A director named in this proxy statement;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Crowe LLP as our independent registered public accounting firm;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approval of the Third Amended and Restated Globalstar, Inc. 2006 Equity Incentive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approval of the Amended and Restated Globalstar, Inc. Employee Stock Purchase Plan.</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discussed more fully below, shares owned by the Thermo Companies and their affiliates (“Thermo”), which entities are owned and controlled by our Executive Chairman and controlling stockholder, Mr. James Monroe III, are not entitled to vote on Proposal One. Mr. Monroe has informed us that he intends to vote, on behalf of himself and the entities he controls, in favor of the second, third, and fourth proposals. This vote assures approval of the second, third, and fourth proposals in accordance with the Board’s recommendations.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Business</w:t>
      </w:r>
      <w:r>
        <w:rPr>
          <w:rFonts w:ascii="Arial" w:cs="Arial" w:eastAsia="Arial" w:hAnsi="Arial"/>
          <w:sz w:val="18"/>
          <w:szCs w:val="18"/>
          <w:color w:val="auto"/>
        </w:rPr>
        <w:t xml:space="preserve"> - We are not aware of any other matter that is expected to be acted on at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Not Casting Your Vote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are a stockholder of record no votes will be cast on your behalf on any of the items of business at the Annual Meeting unless you submit a proxy or vote at the meeting.</w:t>
      </w:r>
    </w:p>
    <w:p>
      <w:pPr>
        <w:spacing w:after="0" w:line="18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7"/>
          <w:szCs w:val="17"/>
          <w:color w:val="auto"/>
        </w:rPr>
        <w:t xml:space="preserve">If you hold shares in street name, you must give instructions to your nominee on how you would like your shares to be voted. If you do not provide any instructions, your nominee can vote your shares only on </w:t>
      </w:r>
      <w:r>
        <w:rPr>
          <w:rFonts w:ascii="Arial" w:cs="Arial" w:eastAsia="Arial" w:hAnsi="Arial"/>
          <w:sz w:val="18"/>
          <w:szCs w:val="18"/>
          <w:color w:val="auto"/>
        </w:rPr>
        <w:t>“</w:t>
      </w:r>
      <w:r>
        <w:rPr>
          <w:rFonts w:ascii="Arial" w:cs="Arial" w:eastAsia="Arial" w:hAnsi="Arial"/>
          <w:sz w:val="17"/>
          <w:szCs w:val="17"/>
          <w:color w:val="auto"/>
        </w:rPr>
        <w:t xml:space="preserve">routine” items, such as the ratification of the appointment of our independent registered public accounting firm. The election of directors and the approval of the Third Amended and Restated Globalstar, Inc. 2006 Equity Incentive Plan and the Amended and Restated Globalstar, Inc. Employee Stock Purchase Plan are not considered </w:t>
      </w:r>
      <w:r>
        <w:rPr>
          <w:rFonts w:ascii="Arial" w:cs="Arial" w:eastAsia="Arial" w:hAnsi="Arial"/>
          <w:sz w:val="18"/>
          <w:szCs w:val="18"/>
          <w:color w:val="auto"/>
        </w:rPr>
        <w:t>“</w:t>
      </w:r>
      <w:r>
        <w:rPr>
          <w:rFonts w:ascii="Arial" w:cs="Arial" w:eastAsia="Arial" w:hAnsi="Arial"/>
          <w:sz w:val="17"/>
          <w:szCs w:val="17"/>
          <w:color w:val="auto"/>
        </w:rPr>
        <w:t>routine” items. Thus, if a nominee holds your shares and you do not instruct the nominee how to vote on these items, your shares will not be voted on your behalf.</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Change or Revoke Your Proxy Vote</w:t>
      </w:r>
    </w:p>
    <w:p>
      <w:pPr>
        <w:spacing w:after="0" w:line="229" w:lineRule="exact"/>
        <w:rPr>
          <w:sz w:val="20"/>
          <w:szCs w:val="20"/>
          <w:color w:val="auto"/>
        </w:rPr>
      </w:pPr>
    </w:p>
    <w:p>
      <w:pPr>
        <w:jc w:val="both"/>
        <w:ind w:firstLine="369"/>
        <w:spacing w:after="0" w:line="264" w:lineRule="auto"/>
        <w:rPr>
          <w:sz w:val="20"/>
          <w:szCs w:val="20"/>
          <w:color w:val="auto"/>
        </w:rPr>
      </w:pPr>
      <w:r>
        <w:rPr>
          <w:rFonts w:ascii="Arial" w:cs="Arial" w:eastAsia="Arial" w:hAnsi="Arial"/>
          <w:sz w:val="18"/>
          <w:szCs w:val="18"/>
          <w:u w:val="single" w:color="auto"/>
          <w:color w:val="auto"/>
        </w:rPr>
        <w:t>Shares Held of Record</w:t>
      </w:r>
      <w:r>
        <w:rPr>
          <w:rFonts w:ascii="Arial" w:cs="Arial" w:eastAsia="Arial" w:hAnsi="Arial"/>
          <w:sz w:val="18"/>
          <w:szCs w:val="18"/>
          <w:color w:val="auto"/>
        </w:rPr>
        <w:t xml:space="preserve"> - If you give Internet or telephonic voting instructions or send in a proxy card and later want to change or revoke your vote, you may do so at any time provided that your instructions are received before voting closes for the method you select or if you vote at the meeting. You may change or revoke your vote in any of the following ways:</w:t>
      </w:r>
    </w:p>
    <w:p>
      <w:pPr>
        <w:spacing w:after="0" w:line="7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by giving new voting instructions on the Internet or by telephone, or by mailing new voting instructions to us on a proxy card with a later date;</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notifying our Corporate Secretary in writing (at the mailing address listed on page 31) that you have revoked your proxy;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Shares Held in “Street Name”</w:t>
      </w:r>
      <w:r>
        <w:rPr>
          <w:rFonts w:ascii="Arial" w:cs="Arial" w:eastAsia="Arial" w:hAnsi="Arial"/>
          <w:sz w:val="17"/>
          <w:szCs w:val="17"/>
          <w:color w:val="auto"/>
        </w:rPr>
        <w:t xml:space="preserve"> - You should follow the instructions given to you by your broker or nominee on how to change or revoke your vote.</w:t>
      </w:r>
    </w:p>
    <w:p>
      <w:pPr>
        <w:spacing w:after="0" w:line="237" w:lineRule="exact"/>
        <w:rPr>
          <w:sz w:val="20"/>
          <w:szCs w:val="20"/>
          <w:color w:val="auto"/>
        </w:rPr>
      </w:pPr>
    </w:p>
    <w:p>
      <w:pPr>
        <w:jc w:val="both"/>
        <w:ind w:firstLine="367"/>
        <w:spacing w:after="0" w:line="277" w:lineRule="auto"/>
        <w:rPr>
          <w:sz w:val="20"/>
          <w:szCs w:val="20"/>
          <w:color w:val="auto"/>
        </w:rPr>
      </w:pPr>
      <w:r>
        <w:rPr>
          <w:rFonts w:ascii="Arial" w:cs="Arial" w:eastAsia="Arial" w:hAnsi="Arial"/>
          <w:sz w:val="18"/>
          <w:szCs w:val="18"/>
          <w:color w:val="auto"/>
        </w:rPr>
        <w:t>You may use any of these methods to change your vote, regardless of the method previously used to submit your vote. The inspector of election for the meeting will count only the most recent vote received before the deadlines set forth in the voting instructions.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to Vote Shares in Our Employee Benefit Plans</w:t>
      </w:r>
    </w:p>
    <w:p>
      <w:pPr>
        <w:spacing w:after="0" w:line="229" w:lineRule="exact"/>
        <w:rPr>
          <w:sz w:val="20"/>
          <w:szCs w:val="20"/>
          <w:color w:val="auto"/>
        </w:rPr>
      </w:pPr>
    </w:p>
    <w:p>
      <w:pPr>
        <w:jc w:val="both"/>
        <w:ind w:firstLine="374"/>
        <w:spacing w:after="0" w:line="312" w:lineRule="auto"/>
        <w:rPr>
          <w:sz w:val="20"/>
          <w:szCs w:val="20"/>
          <w:color w:val="auto"/>
        </w:rPr>
      </w:pPr>
      <w:r>
        <w:rPr>
          <w:rFonts w:ascii="Arial" w:cs="Arial" w:eastAsia="Arial" w:hAnsi="Arial"/>
          <w:sz w:val="16"/>
          <w:szCs w:val="16"/>
          <w:color w:val="auto"/>
        </w:rPr>
        <w:t>If you hold common stock in our Employee Stock Purchase Plan (“ESPP”), you cannot vote your shares directly. The trustee for the ESPP will vote the shares held in the plan. You will receive a voting instruction card from the trustee, which will provide voting instructions. If you provide voting instructions, the trustee will vote your shares in the ESPP as you direct. If you do not provide voting instructions, your shares in the ESPP will not be voted.</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Holders of stock options or unvested restricted stock units issued under our Equity Incentive Plan cannot vote the shares issuable upon exercise or vesting until those shares are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Requirement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quorum of stockholders is necessary to hold a valid meeting. A quorum will exist if holders of a majority (725,034,743) of the shares of common stock entitled to vote at the meeting are present in person or by proxy. Abstentions, broker non-votes and votes withheld from director nominees count as shares of common stock present at the meeting for purposes of establishing a quorum.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and Cost of Soliciting Proxies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asked banks, brokers and other financial institutions, nominees and fiduciaries to forward our proxy material to beneficial owners and to obtain authority to execute proxies on their behalf, and we will reimburse them for their expenses in doing so. Proxies also may be solicited by our management, without additional compensation, through the mail, in person, or by telephone or electronic means.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Admission to the Meeting</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reserve the right to limit admission to the Annual Meeting to our stockholders of record, persons holding valid proxies from our stockholders of record and beneficial owners of our common stock. If your common stock is registered in your name, we may verify your ownership at the meeting in our list of stockholders as of the Record Date. If your common stock is held through a broker or a bank, you should bring to the meeting proof of your beneficial ownership of the stock. This documentation could consist of, for example, a bank or brokerage firm account statement that shows your ownership as of the Record Date or a letter from your bank or broker confirming your ownership as of the Record Date.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SECURITY OWNERSHIP OF PRINCIPAL STOCKHOLDERS AND MANAGEMENT</w:t>
      </w:r>
    </w:p>
    <w:p>
      <w:pPr>
        <w:spacing w:after="0" w:line="1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following table shows (i) the number of shares of common stock beneficially owned as of the Record Date by each director and nominee for director, by each current executive officer, and by all directors, nominees, and current executive officers as a group and (ii) all the persons who were known to be beneficial owners of five percent or more of our common stock, our only voting securities, on April 2, 2019 based upon 1,450,069,483 shares of common stock outstanding as of that date. Holders of our common stock are entitled to one vote per share.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Amount and Nature of</w:t>
            </w:r>
          </w:p>
        </w:tc>
      </w:tr>
      <w:tr>
        <w:trPr>
          <w:trHeight w:val="270"/>
        </w:trPr>
        <w:tc>
          <w:tcPr>
            <w:tcW w:w="8740" w:type="dxa"/>
            <w:vAlign w:val="bottom"/>
          </w:tcPr>
          <w:p>
            <w:pPr>
              <w:spacing w:after="0"/>
              <w:rPr>
                <w:sz w:val="23"/>
                <w:szCs w:val="23"/>
                <w:color w:val="auto"/>
              </w:rPr>
            </w:pP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Beneficial Ownership</w:t>
            </w:r>
          </w:p>
        </w:tc>
      </w:tr>
      <w:tr>
        <w:trPr>
          <w:trHeight w:val="27"/>
        </w:trPr>
        <w:tc>
          <w:tcPr>
            <w:tcW w:w="8740" w:type="dxa"/>
            <w:vAlign w:val="bottom"/>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r>
      <w:tr>
        <w:trPr>
          <w:trHeight w:val="237"/>
        </w:trPr>
        <w:tc>
          <w:tcPr>
            <w:tcW w:w="8740" w:type="dxa"/>
            <w:vAlign w:val="bottom"/>
          </w:tcPr>
          <w:p>
            <w:pPr>
              <w:spacing w:after="0"/>
              <w:rPr>
                <w:sz w:val="20"/>
                <w:szCs w:val="20"/>
                <w:color w:val="auto"/>
              </w:rPr>
            </w:pP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 Stock</w:t>
            </w:r>
          </w:p>
        </w:tc>
      </w:tr>
      <w:tr>
        <w:trPr>
          <w:trHeight w:val="270"/>
        </w:trPr>
        <w:tc>
          <w:tcPr>
            <w:tcW w:w="87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Percent</w:t>
            </w:r>
          </w:p>
        </w:tc>
      </w:tr>
      <w:tr>
        <w:trPr>
          <w:trHeight w:val="270"/>
        </w:trPr>
        <w:tc>
          <w:tcPr>
            <w:tcW w:w="8740" w:type="dxa"/>
            <w:vAlign w:val="bottom"/>
          </w:tcPr>
          <w:p>
            <w:pPr>
              <w:ind w:left="40"/>
              <w:spacing w:after="0"/>
              <w:rPr>
                <w:sz w:val="20"/>
                <w:szCs w:val="20"/>
                <w:color w:val="auto"/>
              </w:rPr>
            </w:pPr>
            <w:r>
              <w:rPr>
                <w:rFonts w:ascii="Arial" w:cs="Arial" w:eastAsia="Arial" w:hAnsi="Arial"/>
                <w:sz w:val="18"/>
                <w:szCs w:val="18"/>
                <w:b w:val="1"/>
                <w:bCs w:val="1"/>
                <w:color w:val="auto"/>
              </w:rPr>
              <w:t>Name of Beneficial Owner (1)</w:t>
            </w:r>
          </w:p>
        </w:tc>
        <w:tc>
          <w:tcPr>
            <w:tcW w:w="1660" w:type="dxa"/>
            <w:vAlign w:val="bottom"/>
          </w:tcPr>
          <w:p>
            <w:pPr>
              <w:jc w:val="right"/>
              <w:ind w:right="510"/>
              <w:spacing w:after="0"/>
              <w:rPr>
                <w:sz w:val="20"/>
                <w:szCs w:val="20"/>
                <w:color w:val="auto"/>
              </w:rPr>
            </w:pPr>
            <w:r>
              <w:rPr>
                <w:rFonts w:ascii="Arial" w:cs="Arial" w:eastAsia="Arial" w:hAnsi="Arial"/>
                <w:sz w:val="18"/>
                <w:szCs w:val="18"/>
                <w:b w:val="1"/>
                <w:bCs w:val="1"/>
                <w:color w:val="auto"/>
              </w:rPr>
              <w:t>Shares</w:t>
            </w: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of Class</w:t>
            </w:r>
          </w:p>
        </w:tc>
      </w:tr>
      <w:tr>
        <w:trPr>
          <w:trHeight w:val="27"/>
        </w:trPr>
        <w:tc>
          <w:tcPr>
            <w:tcW w:w="8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8740" w:type="dxa"/>
            <w:vAlign w:val="bottom"/>
          </w:tcPr>
          <w:p>
            <w:pPr>
              <w:ind w:left="40"/>
              <w:spacing w:after="0" w:line="222" w:lineRule="exact"/>
              <w:rPr>
                <w:sz w:val="20"/>
                <w:szCs w:val="20"/>
                <w:color w:val="auto"/>
              </w:rPr>
            </w:pPr>
            <w:r>
              <w:rPr>
                <w:rFonts w:ascii="Arial" w:cs="Arial" w:eastAsia="Arial" w:hAnsi="Arial"/>
                <w:sz w:val="18"/>
                <w:szCs w:val="18"/>
                <w:color w:val="auto"/>
              </w:rPr>
              <w:t xml:space="preserve">James Monroe III </w:t>
            </w:r>
            <w:r>
              <w:rPr>
                <w:rFonts w:ascii="Arial" w:cs="Arial" w:eastAsia="Arial" w:hAnsi="Arial"/>
                <w:sz w:val="25"/>
                <w:szCs w:val="25"/>
                <w:color w:val="auto"/>
                <w:vertAlign w:val="superscript"/>
              </w:rPr>
              <w:t>(2)</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826,818,261</w:t>
            </w:r>
          </w:p>
        </w:tc>
        <w:tc>
          <w:tcPr>
            <w:tcW w:w="1020" w:type="dxa"/>
            <w:vAlign w:val="bottom"/>
          </w:tcPr>
          <w:p>
            <w:pPr>
              <w:jc w:val="right"/>
              <w:spacing w:after="0"/>
              <w:rPr>
                <w:sz w:val="20"/>
                <w:szCs w:val="20"/>
                <w:color w:val="auto"/>
              </w:rPr>
            </w:pPr>
            <w:r>
              <w:rPr>
                <w:rFonts w:ascii="Arial" w:cs="Arial" w:eastAsia="Arial" w:hAnsi="Arial"/>
                <w:sz w:val="18"/>
                <w:szCs w:val="18"/>
                <w:color w:val="auto"/>
              </w:rPr>
              <w:t>57.02%</w:t>
            </w:r>
          </w:p>
        </w:tc>
      </w:tr>
      <w:tr>
        <w:trPr>
          <w:trHeight w:val="216"/>
        </w:trPr>
        <w:tc>
          <w:tcPr>
            <w:tcW w:w="8740" w:type="dxa"/>
            <w:vAlign w:val="bottom"/>
          </w:tcPr>
          <w:p>
            <w:pPr>
              <w:ind w:left="200"/>
              <w:spacing w:after="0"/>
              <w:rPr>
                <w:sz w:val="20"/>
                <w:szCs w:val="20"/>
                <w:color w:val="auto"/>
              </w:rPr>
            </w:pPr>
            <w:r>
              <w:rPr>
                <w:rFonts w:ascii="Arial" w:cs="Arial" w:eastAsia="Arial" w:hAnsi="Arial"/>
                <w:sz w:val="18"/>
                <w:szCs w:val="18"/>
                <w:color w:val="auto"/>
              </w:rPr>
              <w:t>FL Investment Holdings, LLC</w:t>
            </w: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740" w:type="dxa"/>
            <w:vAlign w:val="bottom"/>
          </w:tcPr>
          <w:p>
            <w:pPr>
              <w:ind w:left="200"/>
              <w:spacing w:after="0"/>
              <w:rPr>
                <w:sz w:val="20"/>
                <w:szCs w:val="20"/>
                <w:color w:val="auto"/>
              </w:rPr>
            </w:pPr>
            <w:r>
              <w:rPr>
                <w:rFonts w:ascii="Arial" w:cs="Arial" w:eastAsia="Arial" w:hAnsi="Arial"/>
                <w:sz w:val="18"/>
                <w:szCs w:val="18"/>
                <w:color w:val="auto"/>
              </w:rPr>
              <w:t>Thermo Funding II LLC</w:t>
            </w: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740" w:type="dxa"/>
            <w:vAlign w:val="bottom"/>
          </w:tcPr>
          <w:p>
            <w:pPr>
              <w:ind w:left="200"/>
              <w:spacing w:after="0"/>
              <w:rPr>
                <w:sz w:val="20"/>
                <w:szCs w:val="20"/>
                <w:color w:val="auto"/>
              </w:rPr>
            </w:pPr>
            <w:r>
              <w:rPr>
                <w:rFonts w:ascii="Arial" w:cs="Arial" w:eastAsia="Arial" w:hAnsi="Arial"/>
                <w:sz w:val="18"/>
                <w:szCs w:val="18"/>
                <w:color w:val="auto"/>
              </w:rPr>
              <w:t>Globalstar Satellite, L.P.</w:t>
            </w:r>
          </w:p>
        </w:tc>
        <w:tc>
          <w:tcPr>
            <w:tcW w:w="1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87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3"/>
        </w:trPr>
        <w:tc>
          <w:tcPr>
            <w:tcW w:w="8740" w:type="dxa"/>
            <w:vAlign w:val="bottom"/>
            <w:shd w:val="clear" w:color="auto" w:fill="CCEEFF"/>
          </w:tcPr>
          <w:p>
            <w:pPr>
              <w:ind w:left="40"/>
              <w:spacing w:after="0" w:line="283" w:lineRule="exact"/>
              <w:rPr>
                <w:sz w:val="20"/>
                <w:szCs w:val="20"/>
                <w:color w:val="auto"/>
              </w:rPr>
            </w:pPr>
            <w:r>
              <w:rPr>
                <w:rFonts w:ascii="Arial" w:cs="Arial" w:eastAsia="Arial" w:hAnsi="Arial"/>
                <w:sz w:val="18"/>
                <w:szCs w:val="18"/>
                <w:color w:val="auto"/>
              </w:rPr>
              <w:t xml:space="preserve">Mudrick Capital Management, L.P. </w:t>
            </w:r>
            <w:r>
              <w:rPr>
                <w:rFonts w:ascii="Arial" w:cs="Arial" w:eastAsia="Arial" w:hAnsi="Arial"/>
                <w:sz w:val="25"/>
                <w:szCs w:val="25"/>
                <w:color w:val="auto"/>
                <w:vertAlign w:val="superscript"/>
              </w:rPr>
              <w:t>(3)</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97,909,222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Jason Mudrick</w:t>
            </w:r>
          </w:p>
        </w:tc>
        <w:tc>
          <w:tcPr>
            <w:tcW w:w="16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87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9"/>
        </w:trPr>
        <w:tc>
          <w:tcPr>
            <w:tcW w:w="8740" w:type="dxa"/>
            <w:vAlign w:val="bottom"/>
          </w:tcPr>
          <w:p>
            <w:pPr>
              <w:ind w:left="40"/>
              <w:spacing w:after="0" w:line="228" w:lineRule="exact"/>
              <w:rPr>
                <w:sz w:val="20"/>
                <w:szCs w:val="20"/>
                <w:color w:val="auto"/>
              </w:rPr>
            </w:pPr>
            <w:r>
              <w:rPr>
                <w:rFonts w:ascii="Arial" w:cs="Arial" w:eastAsia="Arial" w:hAnsi="Arial"/>
                <w:sz w:val="18"/>
                <w:szCs w:val="18"/>
                <w:color w:val="auto"/>
              </w:rPr>
              <w:t xml:space="preserve">James F. Lynch </w:t>
            </w:r>
            <w:r>
              <w:rPr>
                <w:rFonts w:ascii="Arial" w:cs="Arial" w:eastAsia="Arial" w:hAnsi="Arial"/>
                <w:sz w:val="25"/>
                <w:szCs w:val="25"/>
                <w:color w:val="auto"/>
                <w:vertAlign w:val="superscript"/>
              </w:rPr>
              <w:t>(4)</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13,351,136</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8740" w:type="dxa"/>
            <w:vAlign w:val="bottom"/>
          </w:tcPr>
          <w:p>
            <w:pPr>
              <w:ind w:left="160"/>
              <w:spacing w:after="0"/>
              <w:rPr>
                <w:sz w:val="20"/>
                <w:szCs w:val="20"/>
                <w:color w:val="auto"/>
              </w:rPr>
            </w:pPr>
            <w:r>
              <w:rPr>
                <w:rFonts w:ascii="Arial" w:cs="Arial" w:eastAsia="Arial" w:hAnsi="Arial"/>
                <w:sz w:val="18"/>
                <w:szCs w:val="18"/>
                <w:color w:val="auto"/>
              </w:rPr>
              <w:t>Thermo Investments II LLC</w:t>
            </w:r>
          </w:p>
        </w:tc>
        <w:tc>
          <w:tcPr>
            <w:tcW w:w="1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87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William A. Hasler </w:t>
            </w:r>
            <w:r>
              <w:rPr>
                <w:rFonts w:ascii="Arial" w:cs="Arial" w:eastAsia="Arial" w:hAnsi="Arial"/>
                <w:sz w:val="25"/>
                <w:szCs w:val="25"/>
                <w:color w:val="auto"/>
                <w:vertAlign w:val="superscript"/>
              </w:rPr>
              <w:t>(5)</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935,000</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8740" w:type="dxa"/>
            <w:vAlign w:val="bottom"/>
          </w:tcPr>
          <w:p>
            <w:pPr>
              <w:ind w:left="40"/>
              <w:spacing w:after="0"/>
              <w:rPr>
                <w:sz w:val="20"/>
                <w:szCs w:val="20"/>
                <w:color w:val="auto"/>
              </w:rPr>
            </w:pPr>
            <w:r>
              <w:rPr>
                <w:rFonts w:ascii="Arial" w:cs="Arial" w:eastAsia="Arial" w:hAnsi="Arial"/>
                <w:sz w:val="18"/>
                <w:szCs w:val="18"/>
                <w:color w:val="auto"/>
              </w:rPr>
              <w:t>Benjamin G. Wolff</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108"/>
        </w:trPr>
        <w:tc>
          <w:tcPr>
            <w:tcW w:w="8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70"/>
        </w:trPr>
        <w:tc>
          <w:tcPr>
            <w:tcW w:w="8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Keith O. Cowan</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108"/>
        </w:trPr>
        <w:tc>
          <w:tcPr>
            <w:tcW w:w="874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297"/>
        </w:trPr>
        <w:tc>
          <w:tcPr>
            <w:tcW w:w="8740" w:type="dxa"/>
            <w:vAlign w:val="bottom"/>
          </w:tcPr>
          <w:p>
            <w:pPr>
              <w:ind w:left="40"/>
              <w:spacing w:after="0"/>
              <w:rPr>
                <w:sz w:val="20"/>
                <w:szCs w:val="20"/>
                <w:color w:val="auto"/>
              </w:rPr>
            </w:pPr>
            <w:r>
              <w:rPr>
                <w:rFonts w:ascii="Arial" w:cs="Arial" w:eastAsia="Arial" w:hAnsi="Arial"/>
                <w:sz w:val="18"/>
                <w:szCs w:val="18"/>
                <w:color w:val="auto"/>
              </w:rPr>
              <w:t xml:space="preserve">Timothy E. Taylor </w:t>
            </w:r>
            <w:r>
              <w:rPr>
                <w:rFonts w:ascii="Arial" w:cs="Arial" w:eastAsia="Arial" w:hAnsi="Arial"/>
                <w:sz w:val="25"/>
                <w:szCs w:val="25"/>
                <w:color w:val="auto"/>
                <w:vertAlign w:val="superscript"/>
              </w:rPr>
              <w:t>(6)</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401,535</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8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Michael J. Lovett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108"/>
        </w:trPr>
        <w:tc>
          <w:tcPr>
            <w:tcW w:w="874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270"/>
        </w:trPr>
        <w:tc>
          <w:tcPr>
            <w:tcW w:w="8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David B. Kagan </w:t>
            </w:r>
            <w:r>
              <w:rPr>
                <w:rFonts w:ascii="Arial" w:cs="Arial" w:eastAsia="Arial" w:hAnsi="Arial"/>
                <w:sz w:val="25"/>
                <w:szCs w:val="25"/>
                <w:color w:val="auto"/>
                <w:vertAlign w:val="superscript"/>
              </w:rPr>
              <w:t>(7)</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687,358</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8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 Barbee Ponder </w:t>
            </w:r>
            <w:r>
              <w:rPr>
                <w:rFonts w:ascii="Arial" w:cs="Arial" w:eastAsia="Arial" w:hAnsi="Arial"/>
                <w:sz w:val="25"/>
                <w:szCs w:val="25"/>
                <w:color w:val="auto"/>
                <w:vertAlign w:val="superscript"/>
              </w:rPr>
              <w:t>(8)</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231,925</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8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Rebecca S. Clary </w:t>
            </w:r>
            <w:r>
              <w:rPr>
                <w:rFonts w:ascii="Arial" w:cs="Arial" w:eastAsia="Arial" w:hAnsi="Arial"/>
                <w:sz w:val="25"/>
                <w:szCs w:val="25"/>
                <w:color w:val="auto"/>
                <w:vertAlign w:val="superscript"/>
              </w:rPr>
              <w:t>(9)</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550,215</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 directors and current executive officers as a group (10 persons) (1)(2)(4)(5)(6)(7)(8)(9)</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842,975,430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w:t>
            </w:r>
          </w:p>
        </w:tc>
      </w:tr>
      <w:tr>
        <w:trPr>
          <w:trHeight w:val="135"/>
        </w:trPr>
        <w:tc>
          <w:tcPr>
            <w:tcW w:w="87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*Less than 1% of outstanding shares.</w:t>
      </w:r>
    </w:p>
    <w:p>
      <w:pPr>
        <w:spacing w:after="0" w:line="266" w:lineRule="exact"/>
        <w:rPr>
          <w:sz w:val="20"/>
          <w:szCs w:val="20"/>
          <w:color w:val="auto"/>
        </w:rPr>
      </w:pPr>
    </w:p>
    <w:p>
      <w:pPr>
        <w:jc w:val="both"/>
        <w:ind w:left="340" w:hanging="332"/>
        <w:spacing w:after="0" w:line="293"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“Beneficial ownership” is a technical term broadly defined by the SEC to mean more than ownership in the usual sense. Stock is “beneficially owned” if a person has or shares the power (a) to vote or direct its vote or (b) to sell or direct its sale, even if the person has no financial interest in the stock. Also, stock that a person has the right to acquire, such as through the exercise of options or warrants or the conversion of notes, within sixty (60) days of the Record Date is considered to be “beneficially owned.” These shares are deemed to be outstanding and beneficially owned by the person holding the derivative security for the purpose of computing the percentage ownership of that person, but they are not treated as outstanding for the purpose of computing the percentage ownership of any other person. Unless otherwise noted, each person has full voting and investment power over the stock listed.</w:t>
      </w:r>
    </w:p>
    <w:p>
      <w:pPr>
        <w:spacing w:after="0" w:line="164" w:lineRule="exact"/>
        <w:rPr>
          <w:rFonts w:ascii="Arial" w:cs="Arial" w:eastAsia="Arial" w:hAnsi="Arial"/>
          <w:sz w:val="16"/>
          <w:szCs w:val="16"/>
          <w:color w:val="auto"/>
        </w:rPr>
      </w:pPr>
    </w:p>
    <w:p>
      <w:pPr>
        <w:jc w:val="both"/>
        <w:ind w:left="340" w:hanging="332"/>
        <w:spacing w:after="0" w:line="29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address of Mr. Monroe, FL Investment Holdings, LLC, Thermo Funding II LLC and Globalstar Satellite, L.P. is 1735 Nineteenth Street, Denver, CO 80202. This number includes 640,750 shares held by FL Investment Holdings, LLC, 825,358,953 shares held by Thermo Funding II LLC, and 618,558 shares held by Globalstar Satellite, L.P. Mr. Monroe controls, either directly or indirectly, each of Globalstar Satellite, L.P., FL Investment Holdings, LLC and Thermo Funding II LLC and, therefore, is deemed the beneficial owner of the common stock held by these entities. Mr. Monroe also individually owns 200,000 shares (where applicable, Mr. Monroe and the entities referenced above shall be referred to collectively as “Thermo”).</w:t>
      </w:r>
    </w:p>
    <w:p>
      <w:pPr>
        <w:spacing w:after="0" w:line="158"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information provided by Mudrick Capital Management, L.P. in Schedule 13D/A filed December 17, 2018. The address of Mudrick Capital Management, L.P. and Jason Mudrick is 527 Madison Avenue, 6th Floor, New York, NY 10022. Mudrick Capital Management and Mr. Mudrick reported shared voting and dispositive power over 97,909,222 shares.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700,000 shares of common stock that he may acquire upon the exercise of currently exercisable stock options and 12,371,136 shares held by Thermo Investments II LLC.</w:t>
      </w:r>
    </w:p>
    <w:p>
      <w:pPr>
        <w:sectPr>
          <w:pgSz w:w="11900" w:h="16838" w:orient="portrait"/>
          <w:cols w:equalWidth="0" w:num="1">
            <w:col w:w="11420"/>
          </w:cols>
          <w:pgMar w:left="240" w:top="52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26" w:right="239" w:bottom="1440" w:gutter="0" w:footer="0" w:header="0"/>
          <w:type w:val="continuous"/>
        </w:sectPr>
      </w:pPr>
    </w:p>
    <w:bookmarkStart w:id="7" w:name="page8"/>
    <w:bookmarkEnd w:id="7"/>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800,000 shares of common stock that he may acquire upon the exercise of currently exercisable stock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85,550 shares of common stock that he may acquire upon the exercise of currently exercisable stock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250,000 shares of common stock that he may acquire upon the exercise of currently exercisable stock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130,000 shares of common stock that he may acquire upon the exercise of currently exercisable stock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235,000 shares of common stock that she may acquire upon the exercise of currently exercisable stock options.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Section 16(a) of the Securities Exchange Act of 1934 requires our executive officers and directors and persons who own more than 10% of any class of our equity securities to file forms with the SEC reporting their ownership and any changes in their ownership of those securities. These persons also must provide us with copies of these forms when filed. Based on a review of copies of those forms, our records, and written representations from our directors and executive officers that no other reports were required, we believe that all Section 16(a) filing requirements were complied with during 2018 except for one grant that was made to Messrs. Hasler, Kneuer, Lynch, McIntyre, Roberts, and Young on March 1, 2018 that was not reported until May 10, 2018 due to an administrative oversight.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DISCUSSION OF PROPOSALS TO BE VOTED 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Bylaws provide for a Board of, and the Board currently consists of, seven members. Our Board is divided into three classes, with staggered three-year terms. Each of Class A and B consists of two directors; Class C consists of three directors. The terms of the directors of each class expire at the annual meetings of stockholders to be held in 2019 (Class A), 2020 (Class B), and 2021 (Class C). At each annual meeting of stockholders, one class of directors will be elected for a term of three years to succeed the directors whose terms are expiring. The current Directors are: Class A - Keith O. Cowan and Benjamin G. Wolff; Class B - James F. Lynch and Timothy E. Taylor; and Class C - William A. Hasler, James Monroe III and Michael J. Lovett.</w:t>
      </w:r>
    </w:p>
    <w:p>
      <w:pPr>
        <w:spacing w:after="0" w:line="15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Certificate of Incorporation and By-laws provide that so long as Thermo beneficially owns at least 45% of the Company’s outstanding Common Stock, two of the seven members of the Company’s Board of Directors (the “Minority Directors”) will be elected by the vote of a plurality of the holders of the Company’s Common Stock other than Thermo (the “Independent Stockholders”), and that candidates for election as Minority Directors are to be nominated by the Strategic Review Committee. Keith O. Cowan and Benjamin G. Wolff have been nominated for election as Class A Directors at the Annual Meeting. Messrs. Cowan and Wolff qualify as Minority Directors under our Certificate of Incorporation. Each of these nominees has consented to being named in this proxy statement and has agreed to serve if elected. If you elect them, they will hold office until the annual meeting to be held in 2022 or until their successors have been elected and qualified. The Board is not aware of any reason why any nominee would be unable to serve as a director if elected. If prior to the Annual Meeting either nominee should become unable to serve as a director, the management proxies may vote for another nominee proposed by the Board, although proxies may not be voted for more than two nominees. If any director resigns, dies or is otherwise unable to serve out his term, or if the Board increases the number of directors, the Board may fill the vacancy for the balance of that director’s term; provided that, for any vacancies left by Minority Directors, candidates for director must be nominated by the Strategic Review Committee. Under our Bylaws, only the Board may fill vacancies on the Board.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Nominees for Director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nominees for election as Class A Directors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Class A</w:t>
            </w:r>
          </w:p>
        </w:tc>
        <w:tc>
          <w:tcPr>
            <w:tcW w:w="0" w:type="dxa"/>
            <w:vAlign w:val="bottom"/>
          </w:tcPr>
          <w:p>
            <w:pPr>
              <w:spacing w:after="0"/>
              <w:rPr>
                <w:sz w:val="1"/>
                <w:szCs w:val="1"/>
                <w:color w:val="auto"/>
              </w:rPr>
            </w:pPr>
          </w:p>
        </w:tc>
      </w:tr>
      <w:tr>
        <w:trPr>
          <w:trHeight w:val="393"/>
        </w:trPr>
        <w:tc>
          <w:tcPr>
            <w:tcW w:w="1940" w:type="dxa"/>
            <w:vAlign w:val="bottom"/>
          </w:tcPr>
          <w:p>
            <w:pPr>
              <w:ind w:left="40"/>
              <w:spacing w:after="0"/>
              <w:rPr>
                <w:sz w:val="20"/>
                <w:szCs w:val="20"/>
                <w:color w:val="auto"/>
              </w:rPr>
            </w:pPr>
            <w:r>
              <w:rPr>
                <w:rFonts w:ascii="Arial" w:cs="Arial" w:eastAsia="Arial" w:hAnsi="Arial"/>
                <w:sz w:val="16"/>
                <w:szCs w:val="16"/>
                <w:b w:val="1"/>
                <w:bCs w:val="1"/>
                <w:color w:val="auto"/>
              </w:rPr>
              <w:t>Name, Age, and</w:t>
            </w:r>
          </w:p>
        </w:tc>
        <w:tc>
          <w:tcPr>
            <w:tcW w:w="2560" w:type="dxa"/>
            <w:vAlign w:val="bottom"/>
          </w:tcPr>
          <w:p>
            <w:pPr>
              <w:ind w:left="500"/>
              <w:spacing w:after="0"/>
              <w:rPr>
                <w:sz w:val="20"/>
                <w:szCs w:val="20"/>
                <w:color w:val="auto"/>
              </w:rPr>
            </w:pPr>
            <w:r>
              <w:rPr>
                <w:rFonts w:ascii="Arial" w:cs="Arial" w:eastAsia="Arial" w:hAnsi="Arial"/>
                <w:sz w:val="16"/>
                <w:szCs w:val="16"/>
                <w:b w:val="1"/>
                <w:bCs w:val="1"/>
                <w:color w:val="auto"/>
              </w:rPr>
              <w:t>Current Committee</w:t>
            </w:r>
          </w:p>
        </w:tc>
        <w:tc>
          <w:tcPr>
            <w:tcW w:w="9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940" w:type="dxa"/>
            <w:vAlign w:val="bottom"/>
          </w:tcPr>
          <w:p>
            <w:pPr>
              <w:ind w:left="40"/>
              <w:spacing w:after="0"/>
              <w:rPr>
                <w:sz w:val="20"/>
                <w:szCs w:val="20"/>
                <w:color w:val="auto"/>
              </w:rPr>
            </w:pPr>
            <w:r>
              <w:rPr>
                <w:rFonts w:ascii="Arial" w:cs="Arial" w:eastAsia="Arial" w:hAnsi="Arial"/>
                <w:sz w:val="16"/>
                <w:szCs w:val="16"/>
                <w:b w:val="1"/>
                <w:bCs w:val="1"/>
                <w:color w:val="auto"/>
              </w:rPr>
              <w:t>Tenure As Director</w:t>
            </w:r>
          </w:p>
        </w:tc>
        <w:tc>
          <w:tcPr>
            <w:tcW w:w="2560" w:type="dxa"/>
            <w:vAlign w:val="bottom"/>
          </w:tcPr>
          <w:p>
            <w:pPr>
              <w:ind w:left="500"/>
              <w:spacing w:after="0"/>
              <w:rPr>
                <w:sz w:val="20"/>
                <w:szCs w:val="20"/>
                <w:color w:val="auto"/>
              </w:rPr>
            </w:pPr>
            <w:r>
              <w:rPr>
                <w:rFonts w:ascii="Arial" w:cs="Arial" w:eastAsia="Arial" w:hAnsi="Arial"/>
                <w:sz w:val="16"/>
                <w:szCs w:val="16"/>
                <w:b w:val="1"/>
                <w:bCs w:val="1"/>
                <w:color w:val="auto"/>
              </w:rPr>
              <w:t>Memberships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20" w:type="dxa"/>
            <w:vAlign w:val="bottom"/>
          </w:tcPr>
          <w:p>
            <w:pPr>
              <w:ind w:left="240"/>
              <w:spacing w:after="0"/>
              <w:rPr>
                <w:sz w:val="20"/>
                <w:szCs w:val="20"/>
                <w:color w:val="auto"/>
              </w:rPr>
            </w:pPr>
            <w:r>
              <w:rPr>
                <w:rFonts w:ascii="Arial" w:cs="Arial" w:eastAsia="Arial" w:hAnsi="Arial"/>
                <w:sz w:val="16"/>
                <w:szCs w:val="16"/>
                <w:b w:val="1"/>
                <w:bCs w:val="1"/>
                <w:color w:val="auto"/>
              </w:rPr>
              <w:t>Current Occupation and Employment Background</w:t>
            </w:r>
          </w:p>
        </w:tc>
        <w:tc>
          <w:tcPr>
            <w:tcW w:w="0" w:type="dxa"/>
            <w:vAlign w:val="bottom"/>
          </w:tcPr>
          <w:p>
            <w:pPr>
              <w:spacing w:after="0"/>
              <w:rPr>
                <w:sz w:val="1"/>
                <w:szCs w:val="1"/>
                <w:color w:val="auto"/>
              </w:rPr>
            </w:pPr>
          </w:p>
        </w:tc>
      </w:tr>
      <w:tr>
        <w:trPr>
          <w:trHeight w:val="33"/>
        </w:trPr>
        <w:tc>
          <w:tcPr>
            <w:tcW w:w="19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940" w:type="dxa"/>
            <w:vAlign w:val="bottom"/>
          </w:tcPr>
          <w:p>
            <w:pPr>
              <w:ind w:left="40"/>
              <w:spacing w:after="0"/>
              <w:rPr>
                <w:sz w:val="20"/>
                <w:szCs w:val="20"/>
                <w:color w:val="auto"/>
              </w:rPr>
            </w:pPr>
            <w:r>
              <w:rPr>
                <w:rFonts w:ascii="Arial" w:cs="Arial" w:eastAsia="Arial" w:hAnsi="Arial"/>
                <w:sz w:val="16"/>
                <w:szCs w:val="16"/>
                <w:b w:val="1"/>
                <w:bCs w:val="1"/>
                <w:color w:val="auto"/>
              </w:rPr>
              <w:t>Keith O. Cowan</w:t>
            </w:r>
          </w:p>
        </w:tc>
        <w:tc>
          <w:tcPr>
            <w:tcW w:w="2560" w:type="dxa"/>
            <w:vAlign w:val="bottom"/>
          </w:tcPr>
          <w:p>
            <w:pPr>
              <w:ind w:left="500"/>
              <w:spacing w:after="0"/>
              <w:rPr>
                <w:sz w:val="20"/>
                <w:szCs w:val="20"/>
                <w:color w:val="auto"/>
              </w:rPr>
            </w:pPr>
            <w:r>
              <w:rPr>
                <w:rFonts w:ascii="Arial" w:cs="Arial" w:eastAsia="Arial" w:hAnsi="Arial"/>
                <w:sz w:val="16"/>
                <w:szCs w:val="16"/>
                <w:i w:val="1"/>
                <w:iCs w:val="1"/>
                <w:color w:val="auto"/>
              </w:rPr>
              <w:t>Nominating and Corporate</w:t>
            </w:r>
          </w:p>
        </w:tc>
        <w:tc>
          <w:tcPr>
            <w:tcW w:w="6920" w:type="dxa"/>
            <w:vAlign w:val="bottom"/>
            <w:gridSpan w:val="3"/>
            <w:vMerge w:val="restart"/>
          </w:tcPr>
          <w:p>
            <w:pPr>
              <w:ind w:left="100"/>
              <w:spacing w:after="0"/>
              <w:rPr>
                <w:sz w:val="20"/>
                <w:szCs w:val="20"/>
                <w:color w:val="auto"/>
              </w:rPr>
            </w:pPr>
            <w:r>
              <w:rPr>
                <w:rFonts w:ascii="Arial" w:cs="Arial" w:eastAsia="Arial" w:hAnsi="Arial"/>
                <w:sz w:val="16"/>
                <w:szCs w:val="16"/>
                <w:color w:val="auto"/>
              </w:rPr>
              <w:t>Since January 2013, Mr. Cowan has served as the Chief Executive Officer of Cowan Consulting</w:t>
            </w:r>
          </w:p>
        </w:tc>
        <w:tc>
          <w:tcPr>
            <w:tcW w:w="0" w:type="dxa"/>
            <w:vAlign w:val="bottom"/>
          </w:tcPr>
          <w:p>
            <w:pPr>
              <w:spacing w:after="0"/>
              <w:rPr>
                <w:sz w:val="1"/>
                <w:szCs w:val="1"/>
                <w:color w:val="auto"/>
              </w:rPr>
            </w:pPr>
          </w:p>
        </w:tc>
      </w:tr>
      <w:tr>
        <w:trPr>
          <w:trHeight w:val="81"/>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Age 62</w:t>
            </w:r>
          </w:p>
        </w:tc>
        <w:tc>
          <w:tcPr>
            <w:tcW w:w="2560" w:type="dxa"/>
            <w:vAlign w:val="bottom"/>
            <w:vMerge w:val="restart"/>
          </w:tcPr>
          <w:p>
            <w:pPr>
              <w:ind w:left="500"/>
              <w:spacing w:after="0"/>
              <w:rPr>
                <w:sz w:val="20"/>
                <w:szCs w:val="20"/>
                <w:color w:val="auto"/>
              </w:rPr>
            </w:pPr>
            <w:r>
              <w:rPr>
                <w:rFonts w:ascii="Arial" w:cs="Arial" w:eastAsia="Arial" w:hAnsi="Arial"/>
                <w:sz w:val="16"/>
                <w:szCs w:val="16"/>
                <w:i w:val="1"/>
                <w:iCs w:val="1"/>
                <w:color w:val="auto"/>
                <w:w w:val="94"/>
              </w:rPr>
              <w:t>Governance; Strategic Review</w:t>
            </w:r>
          </w:p>
        </w:tc>
        <w:tc>
          <w:tcPr>
            <w:tcW w:w="6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2560" w:type="dxa"/>
            <w:vAlign w:val="bottom"/>
            <w:vMerge w:val="continue"/>
          </w:tcPr>
          <w:p>
            <w:pPr>
              <w:spacing w:after="0"/>
              <w:rPr>
                <w:sz w:val="10"/>
                <w:szCs w:val="10"/>
                <w:color w:val="auto"/>
              </w:rPr>
            </w:pPr>
          </w:p>
        </w:tc>
        <w:tc>
          <w:tcPr>
            <w:tcW w:w="6920" w:type="dxa"/>
            <w:vAlign w:val="bottom"/>
            <w:gridSpan w:val="3"/>
            <w:vMerge w:val="restart"/>
          </w:tcPr>
          <w:p>
            <w:pPr>
              <w:ind w:left="100"/>
              <w:spacing w:after="0"/>
              <w:rPr>
                <w:sz w:val="20"/>
                <w:szCs w:val="20"/>
                <w:color w:val="auto"/>
              </w:rPr>
            </w:pPr>
            <w:r>
              <w:rPr>
                <w:rFonts w:ascii="Arial" w:cs="Arial" w:eastAsia="Arial" w:hAnsi="Arial"/>
                <w:sz w:val="16"/>
                <w:szCs w:val="16"/>
                <w:color w:val="auto"/>
                <w:w w:val="93"/>
              </w:rPr>
              <w:t>Corporation LLC. From July 2007 to January 2013, Mr. Cowan was the President of Strategic Planning</w:t>
            </w:r>
          </w:p>
        </w:tc>
        <w:tc>
          <w:tcPr>
            <w:tcW w:w="0" w:type="dxa"/>
            <w:vAlign w:val="bottom"/>
          </w:tcPr>
          <w:p>
            <w:pPr>
              <w:spacing w:after="0"/>
              <w:rPr>
                <w:sz w:val="1"/>
                <w:szCs w:val="1"/>
                <w:color w:val="auto"/>
              </w:rPr>
            </w:pPr>
          </w:p>
        </w:tc>
      </w:tr>
      <w:tr>
        <w:trPr>
          <w:trHeight w:val="81"/>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Director since</w:t>
            </w:r>
          </w:p>
        </w:tc>
        <w:tc>
          <w:tcPr>
            <w:tcW w:w="2560" w:type="dxa"/>
            <w:vAlign w:val="bottom"/>
          </w:tcPr>
          <w:p>
            <w:pPr>
              <w:spacing w:after="0"/>
              <w:rPr>
                <w:sz w:val="7"/>
                <w:szCs w:val="7"/>
                <w:color w:val="auto"/>
              </w:rPr>
            </w:pPr>
          </w:p>
        </w:tc>
        <w:tc>
          <w:tcPr>
            <w:tcW w:w="6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2560" w:type="dxa"/>
            <w:vAlign w:val="bottom"/>
          </w:tcPr>
          <w:p>
            <w:pPr>
              <w:spacing w:after="0"/>
              <w:rPr>
                <w:sz w:val="10"/>
                <w:szCs w:val="10"/>
                <w:color w:val="auto"/>
              </w:rPr>
            </w:pPr>
          </w:p>
        </w:tc>
        <w:tc>
          <w:tcPr>
            <w:tcW w:w="6920" w:type="dxa"/>
            <w:vAlign w:val="bottom"/>
            <w:gridSpan w:val="3"/>
            <w:vMerge w:val="restart"/>
          </w:tcPr>
          <w:p>
            <w:pPr>
              <w:ind w:left="100"/>
              <w:spacing w:after="0"/>
              <w:rPr>
                <w:sz w:val="20"/>
                <w:szCs w:val="20"/>
                <w:color w:val="auto"/>
              </w:rPr>
            </w:pPr>
            <w:r>
              <w:rPr>
                <w:rFonts w:ascii="Arial" w:cs="Arial" w:eastAsia="Arial" w:hAnsi="Arial"/>
                <w:sz w:val="16"/>
                <w:szCs w:val="16"/>
                <w:color w:val="auto"/>
                <w:w w:val="97"/>
              </w:rPr>
              <w:t>and Corporate Initiatives at Sprint Corporation and prior to that as the Chief Development Officer of</w:t>
            </w:r>
          </w:p>
        </w:tc>
        <w:tc>
          <w:tcPr>
            <w:tcW w:w="0" w:type="dxa"/>
            <w:vAlign w:val="bottom"/>
          </w:tcPr>
          <w:p>
            <w:pPr>
              <w:spacing w:after="0"/>
              <w:rPr>
                <w:sz w:val="1"/>
                <w:szCs w:val="1"/>
                <w:color w:val="auto"/>
              </w:rPr>
            </w:pPr>
          </w:p>
        </w:tc>
      </w:tr>
      <w:tr>
        <w:trPr>
          <w:trHeight w:val="81"/>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December 2018</w:t>
            </w:r>
          </w:p>
        </w:tc>
        <w:tc>
          <w:tcPr>
            <w:tcW w:w="2560" w:type="dxa"/>
            <w:vAlign w:val="bottom"/>
          </w:tcPr>
          <w:p>
            <w:pPr>
              <w:spacing w:after="0"/>
              <w:rPr>
                <w:sz w:val="7"/>
                <w:szCs w:val="7"/>
                <w:color w:val="auto"/>
              </w:rPr>
            </w:pPr>
          </w:p>
        </w:tc>
        <w:tc>
          <w:tcPr>
            <w:tcW w:w="6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940" w:type="dxa"/>
            <w:vAlign w:val="bottom"/>
            <w:vMerge w:val="continue"/>
          </w:tcPr>
          <w:p>
            <w:pPr>
              <w:spacing w:after="0"/>
              <w:rPr>
                <w:sz w:val="10"/>
                <w:szCs w:val="10"/>
                <w:color w:val="auto"/>
              </w:rPr>
            </w:pPr>
          </w:p>
        </w:tc>
        <w:tc>
          <w:tcPr>
            <w:tcW w:w="2560" w:type="dxa"/>
            <w:vAlign w:val="bottom"/>
          </w:tcPr>
          <w:p>
            <w:pPr>
              <w:spacing w:after="0"/>
              <w:rPr>
                <w:sz w:val="10"/>
                <w:szCs w:val="10"/>
                <w:color w:val="auto"/>
              </w:rPr>
            </w:pPr>
          </w:p>
        </w:tc>
        <w:tc>
          <w:tcPr>
            <w:tcW w:w="6920" w:type="dxa"/>
            <w:vAlign w:val="bottom"/>
            <w:gridSpan w:val="3"/>
            <w:vMerge w:val="restart"/>
          </w:tcPr>
          <w:p>
            <w:pPr>
              <w:ind w:left="100"/>
              <w:spacing w:after="0"/>
              <w:rPr>
                <w:sz w:val="20"/>
                <w:szCs w:val="20"/>
                <w:color w:val="auto"/>
              </w:rPr>
            </w:pPr>
            <w:r>
              <w:rPr>
                <w:rFonts w:ascii="Arial" w:cs="Arial" w:eastAsia="Arial" w:hAnsi="Arial"/>
                <w:sz w:val="16"/>
                <w:szCs w:val="16"/>
                <w:color w:val="auto"/>
                <w:w w:val="94"/>
              </w:rPr>
              <w:t>BellSouth Corporation. Mr. Cowan has served as a board member of over a dozen private companies,</w:t>
            </w:r>
          </w:p>
        </w:tc>
        <w:tc>
          <w:tcPr>
            <w:tcW w:w="0" w:type="dxa"/>
            <w:vAlign w:val="bottom"/>
          </w:tcPr>
          <w:p>
            <w:pPr>
              <w:spacing w:after="0"/>
              <w:rPr>
                <w:sz w:val="1"/>
                <w:szCs w:val="1"/>
                <w:color w:val="auto"/>
              </w:rPr>
            </w:pPr>
          </w:p>
        </w:tc>
      </w:tr>
      <w:tr>
        <w:trPr>
          <w:trHeight w:val="77"/>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Term Expires in 2019</w:t>
            </w:r>
          </w:p>
        </w:tc>
        <w:tc>
          <w:tcPr>
            <w:tcW w:w="2560" w:type="dxa"/>
            <w:vAlign w:val="bottom"/>
          </w:tcPr>
          <w:p>
            <w:pPr>
              <w:spacing w:after="0"/>
              <w:rPr>
                <w:sz w:val="6"/>
                <w:szCs w:val="6"/>
                <w:color w:val="auto"/>
              </w:rPr>
            </w:pPr>
          </w:p>
        </w:tc>
        <w:tc>
          <w:tcPr>
            <w:tcW w:w="6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940" w:type="dxa"/>
            <w:vAlign w:val="bottom"/>
            <w:vMerge w:val="continue"/>
          </w:tcPr>
          <w:p>
            <w:pPr>
              <w:spacing w:after="0"/>
              <w:rPr>
                <w:sz w:val="13"/>
                <w:szCs w:val="13"/>
                <w:color w:val="auto"/>
              </w:rPr>
            </w:pPr>
          </w:p>
        </w:tc>
        <w:tc>
          <w:tcPr>
            <w:tcW w:w="2560" w:type="dxa"/>
            <w:vAlign w:val="bottom"/>
          </w:tcPr>
          <w:p>
            <w:pPr>
              <w:spacing w:after="0"/>
              <w:rPr>
                <w:sz w:val="13"/>
                <w:szCs w:val="13"/>
                <w:color w:val="auto"/>
              </w:rPr>
            </w:pPr>
          </w:p>
        </w:tc>
        <w:tc>
          <w:tcPr>
            <w:tcW w:w="6920" w:type="dxa"/>
            <w:vAlign w:val="bottom"/>
            <w:gridSpan w:val="3"/>
            <w:vMerge w:val="restart"/>
          </w:tcPr>
          <w:p>
            <w:pPr>
              <w:ind w:left="100"/>
              <w:spacing w:after="0"/>
              <w:rPr>
                <w:sz w:val="20"/>
                <w:szCs w:val="20"/>
                <w:color w:val="auto"/>
              </w:rPr>
            </w:pPr>
            <w:r>
              <w:rPr>
                <w:rFonts w:ascii="Arial" w:cs="Arial" w:eastAsia="Arial" w:hAnsi="Arial"/>
                <w:sz w:val="16"/>
                <w:szCs w:val="16"/>
                <w:color w:val="auto"/>
                <w:w w:val="96"/>
              </w:rPr>
              <w:t>three public companies, and numerous not-for-profit and civic organizations, including, currently, his</w:t>
            </w:r>
          </w:p>
        </w:tc>
        <w:tc>
          <w:tcPr>
            <w:tcW w:w="0" w:type="dxa"/>
            <w:vAlign w:val="bottom"/>
          </w:tcPr>
          <w:p>
            <w:pPr>
              <w:spacing w:after="0"/>
              <w:rPr>
                <w:sz w:val="1"/>
                <w:szCs w:val="1"/>
                <w:color w:val="auto"/>
              </w:rPr>
            </w:pPr>
          </w:p>
        </w:tc>
      </w:tr>
      <w:tr>
        <w:trPr>
          <w:trHeight w:val="50"/>
        </w:trPr>
        <w:tc>
          <w:tcPr>
            <w:tcW w:w="1940" w:type="dxa"/>
            <w:vAlign w:val="bottom"/>
          </w:tcPr>
          <w:p>
            <w:pPr>
              <w:spacing w:after="0"/>
              <w:rPr>
                <w:sz w:val="4"/>
                <w:szCs w:val="4"/>
                <w:color w:val="auto"/>
              </w:rPr>
            </w:pPr>
          </w:p>
        </w:tc>
        <w:tc>
          <w:tcPr>
            <w:tcW w:w="2560" w:type="dxa"/>
            <w:vAlign w:val="bottom"/>
          </w:tcPr>
          <w:p>
            <w:pPr>
              <w:spacing w:after="0"/>
              <w:rPr>
                <w:sz w:val="4"/>
                <w:szCs w:val="4"/>
                <w:color w:val="auto"/>
              </w:rPr>
            </w:pPr>
          </w:p>
        </w:tc>
        <w:tc>
          <w:tcPr>
            <w:tcW w:w="6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920" w:type="dxa"/>
            <w:vAlign w:val="bottom"/>
            <w:gridSpan w:val="3"/>
          </w:tcPr>
          <w:p>
            <w:pPr>
              <w:ind w:left="100"/>
              <w:spacing w:after="0"/>
              <w:rPr>
                <w:sz w:val="20"/>
                <w:szCs w:val="20"/>
                <w:color w:val="auto"/>
              </w:rPr>
            </w:pPr>
            <w:r>
              <w:rPr>
                <w:rFonts w:ascii="Arial" w:cs="Arial" w:eastAsia="Arial" w:hAnsi="Arial"/>
                <w:sz w:val="16"/>
                <w:szCs w:val="16"/>
                <w:color w:val="auto"/>
                <w:w w:val="92"/>
              </w:rPr>
              <w:t>service as a board member of Phunware, Inc. and as Chairman of the Board of Aegex Technologies, CX</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920" w:type="dxa"/>
            <w:vAlign w:val="bottom"/>
            <w:gridSpan w:val="3"/>
          </w:tcPr>
          <w:p>
            <w:pPr>
              <w:ind w:left="100"/>
              <w:spacing w:after="0"/>
              <w:rPr>
                <w:sz w:val="20"/>
                <w:szCs w:val="20"/>
                <w:color w:val="auto"/>
              </w:rPr>
            </w:pPr>
            <w:r>
              <w:rPr>
                <w:rFonts w:ascii="Arial" w:cs="Arial" w:eastAsia="Arial" w:hAnsi="Arial"/>
                <w:sz w:val="16"/>
                <w:szCs w:val="16"/>
                <w:color w:val="auto"/>
              </w:rPr>
              <w:t>Technologies (ENGAGEcx), Cobra Legal Solutions and Venadar LLC.</w:t>
            </w:r>
          </w:p>
        </w:tc>
        <w:tc>
          <w:tcPr>
            <w:tcW w:w="0" w:type="dxa"/>
            <w:vAlign w:val="bottom"/>
          </w:tcPr>
          <w:p>
            <w:pPr>
              <w:spacing w:after="0"/>
              <w:rPr>
                <w:sz w:val="1"/>
                <w:szCs w:val="1"/>
                <w:color w:val="auto"/>
              </w:rPr>
            </w:pPr>
          </w:p>
        </w:tc>
      </w:tr>
      <w:tr>
        <w:trPr>
          <w:trHeight w:val="334"/>
        </w:trPr>
        <w:tc>
          <w:tcPr>
            <w:tcW w:w="1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920" w:type="dxa"/>
            <w:vAlign w:val="bottom"/>
            <w:gridSpan w:val="3"/>
          </w:tcPr>
          <w:p>
            <w:pPr>
              <w:ind w:left="100"/>
              <w:spacing w:after="0"/>
              <w:rPr>
                <w:sz w:val="20"/>
                <w:szCs w:val="20"/>
                <w:color w:val="auto"/>
              </w:rPr>
            </w:pPr>
            <w:r>
              <w:rPr>
                <w:rFonts w:ascii="Arial" w:cs="Arial" w:eastAsia="Arial" w:hAnsi="Arial"/>
                <w:sz w:val="16"/>
                <w:szCs w:val="16"/>
                <w:color w:val="auto"/>
                <w:w w:val="92"/>
              </w:rPr>
              <w:t>Mr. Cowan’s extensive experience in the telecommunications industry and global business development</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920" w:type="dxa"/>
            <w:vAlign w:val="bottom"/>
            <w:gridSpan w:val="3"/>
          </w:tcPr>
          <w:p>
            <w:pPr>
              <w:ind w:left="100"/>
              <w:spacing w:after="0"/>
              <w:rPr>
                <w:sz w:val="20"/>
                <w:szCs w:val="20"/>
                <w:color w:val="auto"/>
              </w:rPr>
            </w:pPr>
            <w:r>
              <w:rPr>
                <w:rFonts w:ascii="Arial" w:cs="Arial" w:eastAsia="Arial" w:hAnsi="Arial"/>
                <w:sz w:val="16"/>
                <w:szCs w:val="16"/>
                <w:color w:val="auto"/>
              </w:rPr>
              <w:t>provides important insight in the launch and expansion of our products, services and networks.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40" w:right="380"/>
        <w:spacing w:after="0" w:line="269" w:lineRule="auto"/>
        <w:rPr>
          <w:sz w:val="20"/>
          <w:szCs w:val="20"/>
          <w:color w:val="auto"/>
        </w:rPr>
      </w:pPr>
      <w:r>
        <w:rPr>
          <w:rFonts w:ascii="Arial" w:cs="Arial" w:eastAsia="Arial" w:hAnsi="Arial"/>
          <w:sz w:val="16"/>
          <w:szCs w:val="16"/>
          <w:b w:val="1"/>
          <w:bCs w:val="1"/>
          <w:color w:val="auto"/>
        </w:rPr>
        <w:t xml:space="preserve">Benjamin G. Wolff </w:t>
      </w:r>
      <w:r>
        <w:rPr>
          <w:rFonts w:ascii="Arial" w:cs="Arial" w:eastAsia="Arial" w:hAnsi="Arial"/>
          <w:sz w:val="16"/>
          <w:szCs w:val="16"/>
          <w:color w:val="auto"/>
        </w:rPr>
        <w:t>Age 50</w:t>
      </w:r>
    </w:p>
    <w:p>
      <w:pPr>
        <w:spacing w:after="0" w:line="1" w:lineRule="exact"/>
        <w:rPr>
          <w:sz w:val="20"/>
          <w:szCs w:val="20"/>
          <w:color w:val="auto"/>
        </w:rPr>
      </w:pPr>
    </w:p>
    <w:p>
      <w:pPr>
        <w:ind w:left="40" w:right="280"/>
        <w:spacing w:after="0" w:line="332" w:lineRule="auto"/>
        <w:rPr>
          <w:sz w:val="20"/>
          <w:szCs w:val="20"/>
          <w:color w:val="auto"/>
        </w:rPr>
      </w:pPr>
      <w:r>
        <w:rPr>
          <w:rFonts w:ascii="Arial" w:cs="Arial" w:eastAsia="Arial" w:hAnsi="Arial"/>
          <w:sz w:val="14"/>
          <w:szCs w:val="14"/>
          <w:color w:val="auto"/>
        </w:rPr>
        <w:t>Director since December 2018 Term Expires in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Audit; Compensation; Strategic Review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Mr. Wolff serves as the Chairman and CEO of Sarcos Robotics, a global leader in mobile, dexterous, tele-operated robots. Mr. Wolff joined Eagle River Investments in 2003, a telecom and technology private equity and venture capital firm, where he served as President until 2014. Mr. Wolff co-founded Clearwire Corporation in 2003, where he served in various capacities including President, CEO, Co-Chairman and member of the Board of Directors until 2011. Mr. Wolff served from 2009 to 2014 as Chief Executive Officer, President and Chairman of satellite communications firm ICO Global Communications, which was subsequently renamed Pendrell Corp. Mr. Wolff has served as a member of the board of directors of various telecom and technology companies</w:t>
      </w:r>
    </w:p>
    <w:p>
      <w:pPr>
        <w:spacing w:after="0" w:line="100" w:lineRule="exact"/>
        <w:rPr>
          <w:sz w:val="20"/>
          <w:szCs w:val="20"/>
          <w:color w:val="auto"/>
        </w:rPr>
      </w:pPr>
    </w:p>
    <w:p>
      <w:pPr>
        <w:ind w:right="80"/>
        <w:spacing w:after="0" w:line="329" w:lineRule="auto"/>
        <w:rPr>
          <w:sz w:val="20"/>
          <w:szCs w:val="20"/>
          <w:color w:val="auto"/>
        </w:rPr>
      </w:pPr>
      <w:r>
        <w:rPr>
          <w:rFonts w:ascii="Arial" w:cs="Arial" w:eastAsia="Arial" w:hAnsi="Arial"/>
          <w:sz w:val="15"/>
          <w:szCs w:val="15"/>
          <w:color w:val="auto"/>
        </w:rPr>
        <w:t>Mr. Wolff provides the Board with strong knowledge and insight into the telecommunications market in the United States and abroad and extensive experience in capital markets transactions.</w:t>
      </w:r>
    </w:p>
    <w:p>
      <w:pPr>
        <w:spacing w:after="0" w:line="200" w:lineRule="exact"/>
        <w:rPr>
          <w:sz w:val="20"/>
          <w:szCs w:val="20"/>
          <w:color w:val="auto"/>
        </w:rPr>
      </w:pPr>
    </w:p>
    <w:p>
      <w:pPr>
        <w:sectPr>
          <w:pgSz w:w="11900" w:h="16838" w:orient="portrait"/>
          <w:cols w:equalWidth="0" w:num="3">
            <w:col w:w="1720" w:space="720"/>
            <w:col w:w="2060" w:space="100"/>
            <w:col w:w="6820"/>
          </w:cols>
          <w:pgMar w:left="240" w:top="36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Information about Continuing Directors</w:t>
            </w: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Class B</w:t>
            </w:r>
          </w:p>
        </w:tc>
      </w:tr>
      <w:tr>
        <w:trPr>
          <w:trHeight w:val="399"/>
        </w:trPr>
        <w:tc>
          <w:tcPr>
            <w:tcW w:w="40" w:type="dxa"/>
            <w:vAlign w:val="bottom"/>
          </w:tcPr>
          <w:p>
            <w:pPr>
              <w:spacing w:after="0"/>
              <w:rPr>
                <w:sz w:val="24"/>
                <w:szCs w:val="24"/>
                <w:color w:val="auto"/>
              </w:rPr>
            </w:pPr>
          </w:p>
        </w:tc>
        <w:tc>
          <w:tcPr>
            <w:tcW w:w="1960" w:type="dxa"/>
            <w:vAlign w:val="bottom"/>
          </w:tcPr>
          <w:p>
            <w:pPr>
              <w:ind w:left="20"/>
              <w:spacing w:after="0"/>
              <w:rPr>
                <w:sz w:val="20"/>
                <w:szCs w:val="20"/>
                <w:color w:val="auto"/>
              </w:rPr>
            </w:pPr>
            <w:r>
              <w:rPr>
                <w:rFonts w:ascii="Arial" w:cs="Arial" w:eastAsia="Arial" w:hAnsi="Arial"/>
                <w:sz w:val="18"/>
                <w:szCs w:val="18"/>
                <w:b w:val="1"/>
                <w:bCs w:val="1"/>
                <w:color w:val="auto"/>
              </w:rPr>
              <w:t>Name, Age, and</w:t>
            </w:r>
          </w:p>
        </w:tc>
        <w:tc>
          <w:tcPr>
            <w:tcW w:w="2300" w:type="dxa"/>
            <w:vAlign w:val="bottom"/>
          </w:tcPr>
          <w:p>
            <w:pPr>
              <w:ind w:left="460"/>
              <w:spacing w:after="0"/>
              <w:rPr>
                <w:sz w:val="20"/>
                <w:szCs w:val="20"/>
                <w:color w:val="auto"/>
              </w:rPr>
            </w:pPr>
            <w:r>
              <w:rPr>
                <w:rFonts w:ascii="Arial" w:cs="Arial" w:eastAsia="Arial" w:hAnsi="Arial"/>
                <w:sz w:val="18"/>
                <w:szCs w:val="18"/>
                <w:b w:val="1"/>
                <w:bCs w:val="1"/>
                <w:color w:val="auto"/>
              </w:rPr>
              <w:t>Current Committee</w:t>
            </w:r>
          </w:p>
        </w:tc>
        <w:tc>
          <w:tcPr>
            <w:tcW w:w="1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960" w:type="dxa"/>
            <w:vAlign w:val="bottom"/>
          </w:tcPr>
          <w:p>
            <w:pPr>
              <w:ind w:left="20"/>
              <w:spacing w:after="0"/>
              <w:rPr>
                <w:sz w:val="20"/>
                <w:szCs w:val="20"/>
                <w:color w:val="auto"/>
              </w:rPr>
            </w:pPr>
            <w:r>
              <w:rPr>
                <w:rFonts w:ascii="Arial" w:cs="Arial" w:eastAsia="Arial" w:hAnsi="Arial"/>
                <w:sz w:val="18"/>
                <w:szCs w:val="18"/>
                <w:b w:val="1"/>
                <w:bCs w:val="1"/>
                <w:color w:val="auto"/>
              </w:rPr>
              <w:t>Tenure As Director</w:t>
            </w:r>
          </w:p>
        </w:tc>
        <w:tc>
          <w:tcPr>
            <w:tcW w:w="2300" w:type="dxa"/>
            <w:vAlign w:val="bottom"/>
          </w:tcPr>
          <w:p>
            <w:pPr>
              <w:ind w:left="460"/>
              <w:spacing w:after="0"/>
              <w:rPr>
                <w:sz w:val="20"/>
                <w:szCs w:val="20"/>
                <w:color w:val="auto"/>
              </w:rPr>
            </w:pPr>
            <w:r>
              <w:rPr>
                <w:rFonts w:ascii="Arial" w:cs="Arial" w:eastAsia="Arial" w:hAnsi="Arial"/>
                <w:sz w:val="18"/>
                <w:szCs w:val="18"/>
                <w:b w:val="1"/>
                <w:bCs w:val="1"/>
                <w:color w:val="auto"/>
              </w:rPr>
              <w:t>Memberships</w:t>
            </w:r>
          </w:p>
        </w:tc>
        <w:tc>
          <w:tcPr>
            <w:tcW w:w="7100" w:type="dxa"/>
            <w:vAlign w:val="bottom"/>
            <w:gridSpan w:val="3"/>
          </w:tcPr>
          <w:p>
            <w:pPr>
              <w:ind w:left="320"/>
              <w:spacing w:after="0"/>
              <w:rPr>
                <w:sz w:val="20"/>
                <w:szCs w:val="20"/>
                <w:color w:val="auto"/>
              </w:rPr>
            </w:pPr>
            <w:r>
              <w:rPr>
                <w:rFonts w:ascii="Arial" w:cs="Arial" w:eastAsia="Arial" w:hAnsi="Arial"/>
                <w:sz w:val="18"/>
                <w:szCs w:val="18"/>
                <w:b w:val="1"/>
                <w:bCs w:val="1"/>
                <w:color w:val="auto"/>
              </w:rPr>
              <w:t>Current Occupation and Employment Background</w:t>
            </w:r>
          </w:p>
        </w:tc>
      </w:tr>
      <w:tr>
        <w:trPr>
          <w:trHeight w:val="27"/>
        </w:trPr>
        <w:tc>
          <w:tcPr>
            <w:tcW w:w="4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213"/>
        </w:trPr>
        <w:tc>
          <w:tcPr>
            <w:tcW w:w="4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James F. Lynch</w:t>
            </w:r>
          </w:p>
        </w:tc>
        <w:tc>
          <w:tcPr>
            <w:tcW w:w="2300" w:type="dxa"/>
            <w:vAlign w:val="bottom"/>
          </w:tcPr>
          <w:p>
            <w:pPr>
              <w:ind w:left="460"/>
              <w:spacing w:after="0"/>
              <w:rPr>
                <w:sz w:val="20"/>
                <w:szCs w:val="20"/>
                <w:color w:val="auto"/>
              </w:rPr>
            </w:pPr>
            <w:r>
              <w:rPr>
                <w:rFonts w:ascii="Arial" w:cs="Arial" w:eastAsia="Arial" w:hAnsi="Arial"/>
                <w:sz w:val="16"/>
                <w:szCs w:val="16"/>
                <w:i w:val="1"/>
                <w:iCs w:val="1"/>
                <w:color w:val="auto"/>
              </w:rPr>
              <w:t>None</w:t>
            </w: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w w:val="93"/>
              </w:rPr>
              <w:t>Mr. Lynch has been Managing Partner of Thermo Capital Partners, L.L.C., a private equity investment</w:t>
            </w:r>
          </w:p>
        </w:tc>
      </w:tr>
      <w:tr>
        <w:trPr>
          <w:trHeight w:val="203"/>
        </w:trPr>
        <w:tc>
          <w:tcPr>
            <w:tcW w:w="4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Age 61</w:t>
            </w: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rPr>
              <w:t>firm, since October 2001. Mr. Lynch also serves as Executive Chairman of FiberLight, LLC, a</w:t>
            </w:r>
          </w:p>
        </w:tc>
      </w:tr>
      <w:tr>
        <w:trPr>
          <w:trHeight w:val="203"/>
        </w:trPr>
        <w:tc>
          <w:tcPr>
            <w:tcW w:w="4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Director since</w:t>
            </w: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rPr>
              <w:t>facilities-based provider of metropolitan fiber-optic network infrastructure and high-bandwidth</w:t>
            </w:r>
          </w:p>
        </w:tc>
      </w:tr>
      <w:tr>
        <w:trPr>
          <w:trHeight w:val="203"/>
        </w:trPr>
        <w:tc>
          <w:tcPr>
            <w:tcW w:w="4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December 2003</w:t>
            </w: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w w:val="94"/>
              </w:rPr>
              <w:t>connectivity solutions and served as CEO from 2005 through 2017. Mr. Lynch served as Chairman of</w:t>
            </w:r>
          </w:p>
        </w:tc>
      </w:tr>
      <w:tr>
        <w:trPr>
          <w:trHeight w:val="203"/>
        </w:trPr>
        <w:tc>
          <w:tcPr>
            <w:tcW w:w="4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Term Expires in 2020</w:t>
            </w: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w w:val="95"/>
              </w:rPr>
              <w:t>Xspedius Communications, LLC, a competitive local telephone exchange carrier, from January 2005</w:t>
            </w:r>
          </w:p>
        </w:tc>
      </w:tr>
      <w:tr>
        <w:trPr>
          <w:trHeight w:val="203"/>
        </w:trPr>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rPr>
              <w:t>until its acquisition by Time Warner Telecom in October 2006 and as Chief Executive Officer of</w:t>
            </w:r>
          </w:p>
        </w:tc>
      </w:tr>
      <w:tr>
        <w:trPr>
          <w:trHeight w:val="203"/>
        </w:trPr>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rPr>
              <w:t>Xspedius from August 2005 to March 2006. Prior to joining Thermo, Mr. Lynch was a Managing</w:t>
            </w:r>
          </w:p>
        </w:tc>
      </w:tr>
      <w:tr>
        <w:trPr>
          <w:trHeight w:val="206"/>
        </w:trPr>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rPr>
              <w:t>Director at Bear Stearns &amp; Co. Mr. Lynch is a limited partner of Globalstar Satellite, L.P.</w:t>
            </w:r>
          </w:p>
        </w:tc>
      </w:tr>
      <w:tr>
        <w:trPr>
          <w:trHeight w:val="401"/>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w w:val="93"/>
              </w:rPr>
              <w:t>Mr. Lynch brings extensive financial management experience, especially in the telecom industry, to the</w:t>
            </w:r>
          </w:p>
        </w:tc>
      </w:tr>
      <w:tr>
        <w:trPr>
          <w:trHeight w:val="206"/>
        </w:trPr>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rPr>
              <w:t>Board.</w:t>
            </w:r>
          </w:p>
        </w:tc>
      </w:tr>
      <w:tr>
        <w:trPr>
          <w:trHeight w:val="658"/>
        </w:trPr>
        <w:tc>
          <w:tcPr>
            <w:tcW w:w="40" w:type="dxa"/>
            <w:vAlign w:val="bottom"/>
          </w:tcPr>
          <w:p>
            <w:pPr>
              <w:spacing w:after="0"/>
              <w:rPr>
                <w:sz w:val="24"/>
                <w:szCs w:val="24"/>
                <w:color w:val="auto"/>
              </w:rPr>
            </w:pPr>
          </w:p>
        </w:tc>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Timothy E. Taylor</w:t>
            </w:r>
          </w:p>
        </w:tc>
        <w:tc>
          <w:tcPr>
            <w:tcW w:w="2300" w:type="dxa"/>
            <w:vAlign w:val="bottom"/>
          </w:tcPr>
          <w:p>
            <w:pPr>
              <w:ind w:left="460"/>
              <w:spacing w:after="0"/>
              <w:rPr>
                <w:sz w:val="20"/>
                <w:szCs w:val="20"/>
                <w:color w:val="auto"/>
              </w:rPr>
            </w:pPr>
            <w:r>
              <w:rPr>
                <w:rFonts w:ascii="Arial" w:cs="Arial" w:eastAsia="Arial" w:hAnsi="Arial"/>
                <w:sz w:val="16"/>
                <w:szCs w:val="16"/>
                <w:i w:val="1"/>
                <w:iCs w:val="1"/>
                <w:color w:val="auto"/>
              </w:rPr>
              <w:t>Strategic Review</w:t>
            </w: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w w:val="93"/>
              </w:rPr>
              <w:t>Mr. Taylor serves as Vice President, Finance, Business Operations and Strategy of Globalstar and is a</w:t>
            </w:r>
          </w:p>
        </w:tc>
      </w:tr>
      <w:tr>
        <w:trPr>
          <w:trHeight w:val="203"/>
        </w:trPr>
        <w:tc>
          <w:tcPr>
            <w:tcW w:w="4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Age 36</w:t>
            </w: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rPr>
              <w:t>Vice President of The Thermo Companies. Before joining Globalstar in 2010, Mr. Taylor was an</w:t>
            </w:r>
          </w:p>
        </w:tc>
      </w:tr>
      <w:tr>
        <w:trPr>
          <w:trHeight w:val="203"/>
        </w:trPr>
        <w:tc>
          <w:tcPr>
            <w:tcW w:w="4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Director since</w:t>
            </w: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w w:val="94"/>
              </w:rPr>
              <w:t>Associate in the Mergers &amp; Acquisitions Group at Brown Brothers Harriman. Mr. Taylor has served as</w:t>
            </w:r>
          </w:p>
        </w:tc>
      </w:tr>
      <w:tr>
        <w:trPr>
          <w:trHeight w:val="203"/>
        </w:trPr>
        <w:tc>
          <w:tcPr>
            <w:tcW w:w="4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December 2018</w:t>
            </w: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w w:val="95"/>
              </w:rPr>
              <w:t>a board member of Birch Investment Partners, LLC, dba Timberland Cabinets and Rutt HandCrafted</w:t>
            </w:r>
          </w:p>
        </w:tc>
      </w:tr>
      <w:tr>
        <w:trPr>
          <w:trHeight w:val="206"/>
        </w:trPr>
        <w:tc>
          <w:tcPr>
            <w:tcW w:w="4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Term Expires in 2020</w:t>
            </w: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rPr>
              <w:t>Cabinetry since 2017 and Thermo Communications Funding since 2014.</w:t>
            </w:r>
          </w:p>
        </w:tc>
      </w:tr>
    </w:tbl>
    <w:p>
      <w:pPr>
        <w:spacing w:after="0" w:line="199" w:lineRule="exact"/>
        <w:rPr>
          <w:sz w:val="20"/>
          <w:szCs w:val="20"/>
          <w:color w:val="auto"/>
        </w:rPr>
      </w:pPr>
    </w:p>
    <w:p>
      <w:pPr>
        <w:ind w:left="4620" w:right="380"/>
        <w:spacing w:after="0" w:line="293" w:lineRule="auto"/>
        <w:rPr>
          <w:sz w:val="20"/>
          <w:szCs w:val="20"/>
          <w:color w:val="auto"/>
        </w:rPr>
      </w:pPr>
      <w:r>
        <w:rPr>
          <w:rFonts w:ascii="Arial" w:cs="Arial" w:eastAsia="Arial" w:hAnsi="Arial"/>
          <w:sz w:val="16"/>
          <w:szCs w:val="16"/>
          <w:color w:val="auto"/>
        </w:rPr>
        <w:t>Mr. Taylor brings insight into the daily operations of Globalstar and management experience to the Board.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26" w:right="259" w:bottom="1440" w:gutter="0" w:footer="0" w:header="0"/>
        </w:sectPr>
      </w:pPr>
    </w:p>
    <w:bookmarkStart w:id="10" w:name="page11"/>
    <w:bookmarkEnd w:id="10"/>
    <w:tbl>
      <w:tblPr>
        <w:tblLayout w:type="fixed"/>
        <w:tblInd w:w="4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Class C</w:t>
            </w:r>
          </w:p>
        </w:tc>
      </w:tr>
      <w:tr>
        <w:trPr>
          <w:trHeight w:val="399"/>
        </w:trPr>
        <w:tc>
          <w:tcPr>
            <w:tcW w:w="2200" w:type="dxa"/>
            <w:vAlign w:val="bottom"/>
          </w:tcPr>
          <w:p>
            <w:pPr>
              <w:ind w:left="20"/>
              <w:spacing w:after="0"/>
              <w:rPr>
                <w:sz w:val="20"/>
                <w:szCs w:val="20"/>
                <w:color w:val="auto"/>
              </w:rPr>
            </w:pPr>
            <w:r>
              <w:rPr>
                <w:rFonts w:ascii="Arial" w:cs="Arial" w:eastAsia="Arial" w:hAnsi="Arial"/>
                <w:sz w:val="18"/>
                <w:szCs w:val="18"/>
                <w:b w:val="1"/>
                <w:bCs w:val="1"/>
                <w:color w:val="auto"/>
              </w:rPr>
              <w:t>Name, Age, and</w:t>
            </w:r>
          </w:p>
        </w:tc>
        <w:tc>
          <w:tcPr>
            <w:tcW w:w="2320" w:type="dxa"/>
            <w:vAlign w:val="bottom"/>
          </w:tcPr>
          <w:p>
            <w:pPr>
              <w:ind w:left="220"/>
              <w:spacing w:after="0"/>
              <w:rPr>
                <w:sz w:val="20"/>
                <w:szCs w:val="20"/>
                <w:color w:val="auto"/>
              </w:rPr>
            </w:pPr>
            <w:r>
              <w:rPr>
                <w:rFonts w:ascii="Arial" w:cs="Arial" w:eastAsia="Arial" w:hAnsi="Arial"/>
                <w:sz w:val="18"/>
                <w:szCs w:val="18"/>
                <w:b w:val="1"/>
                <w:bCs w:val="1"/>
                <w:color w:val="auto"/>
              </w:rPr>
              <w:t>Current Committee</w:t>
            </w:r>
          </w:p>
        </w:tc>
        <w:tc>
          <w:tcPr>
            <w:tcW w:w="8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00" w:type="dxa"/>
            <w:vAlign w:val="bottom"/>
          </w:tcPr>
          <w:p>
            <w:pPr>
              <w:spacing w:after="0"/>
              <w:rPr>
                <w:sz w:val="24"/>
                <w:szCs w:val="24"/>
                <w:color w:val="auto"/>
              </w:rPr>
            </w:pPr>
          </w:p>
        </w:tc>
      </w:tr>
      <w:tr>
        <w:trPr>
          <w:trHeight w:val="270"/>
        </w:trPr>
        <w:tc>
          <w:tcPr>
            <w:tcW w:w="2200" w:type="dxa"/>
            <w:vAlign w:val="bottom"/>
          </w:tcPr>
          <w:p>
            <w:pPr>
              <w:ind w:left="20"/>
              <w:spacing w:after="0"/>
              <w:rPr>
                <w:sz w:val="20"/>
                <w:szCs w:val="20"/>
                <w:color w:val="auto"/>
              </w:rPr>
            </w:pPr>
            <w:r>
              <w:rPr>
                <w:rFonts w:ascii="Arial" w:cs="Arial" w:eastAsia="Arial" w:hAnsi="Arial"/>
                <w:sz w:val="18"/>
                <w:szCs w:val="18"/>
                <w:b w:val="1"/>
                <w:bCs w:val="1"/>
                <w:color w:val="auto"/>
              </w:rPr>
              <w:t>Tenure As Director</w:t>
            </w:r>
          </w:p>
        </w:tc>
        <w:tc>
          <w:tcPr>
            <w:tcW w:w="2320" w:type="dxa"/>
            <w:vAlign w:val="bottom"/>
          </w:tcPr>
          <w:p>
            <w:pPr>
              <w:ind w:left="220"/>
              <w:spacing w:after="0"/>
              <w:rPr>
                <w:sz w:val="20"/>
                <w:szCs w:val="20"/>
                <w:color w:val="auto"/>
              </w:rPr>
            </w:pPr>
            <w:r>
              <w:rPr>
                <w:rFonts w:ascii="Arial" w:cs="Arial" w:eastAsia="Arial" w:hAnsi="Arial"/>
                <w:sz w:val="18"/>
                <w:szCs w:val="18"/>
                <w:b w:val="1"/>
                <w:bCs w:val="1"/>
                <w:color w:val="auto"/>
              </w:rPr>
              <w:t>Memberships</w:t>
            </w:r>
          </w:p>
        </w:tc>
        <w:tc>
          <w:tcPr>
            <w:tcW w:w="6840" w:type="dxa"/>
            <w:vAlign w:val="bottom"/>
            <w:gridSpan w:val="3"/>
          </w:tcPr>
          <w:p>
            <w:pPr>
              <w:ind w:left="60"/>
              <w:spacing w:after="0"/>
              <w:rPr>
                <w:sz w:val="20"/>
                <w:szCs w:val="20"/>
                <w:color w:val="auto"/>
              </w:rPr>
            </w:pPr>
            <w:r>
              <w:rPr>
                <w:rFonts w:ascii="Arial" w:cs="Arial" w:eastAsia="Arial" w:hAnsi="Arial"/>
                <w:sz w:val="18"/>
                <w:szCs w:val="18"/>
                <w:b w:val="1"/>
                <w:bCs w:val="1"/>
                <w:color w:val="auto"/>
              </w:rPr>
              <w:t>Current Occupation and Employment Background</w:t>
            </w:r>
          </w:p>
        </w:tc>
      </w:tr>
      <w:tr>
        <w:trPr>
          <w:trHeight w:val="27"/>
        </w:trPr>
        <w:tc>
          <w:tcPr>
            <w:tcW w:w="2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213"/>
        </w:trPr>
        <w:tc>
          <w:tcPr>
            <w:tcW w:w="2200" w:type="dxa"/>
            <w:vAlign w:val="bottom"/>
          </w:tcPr>
          <w:p>
            <w:pPr>
              <w:ind w:left="20"/>
              <w:spacing w:after="0"/>
              <w:rPr>
                <w:sz w:val="20"/>
                <w:szCs w:val="20"/>
                <w:color w:val="auto"/>
              </w:rPr>
            </w:pPr>
            <w:r>
              <w:rPr>
                <w:rFonts w:ascii="Arial" w:cs="Arial" w:eastAsia="Arial" w:hAnsi="Arial"/>
                <w:sz w:val="16"/>
                <w:szCs w:val="16"/>
                <w:b w:val="1"/>
                <w:bCs w:val="1"/>
                <w:color w:val="auto"/>
              </w:rPr>
              <w:t>William A. Hasler</w:t>
            </w:r>
          </w:p>
        </w:tc>
        <w:tc>
          <w:tcPr>
            <w:tcW w:w="2320" w:type="dxa"/>
            <w:vAlign w:val="bottom"/>
          </w:tcPr>
          <w:p>
            <w:pPr>
              <w:ind w:left="220"/>
              <w:spacing w:after="0"/>
              <w:rPr>
                <w:sz w:val="20"/>
                <w:szCs w:val="20"/>
                <w:color w:val="auto"/>
              </w:rPr>
            </w:pPr>
            <w:r>
              <w:rPr>
                <w:rFonts w:ascii="Arial" w:cs="Arial" w:eastAsia="Arial" w:hAnsi="Arial"/>
                <w:sz w:val="16"/>
                <w:szCs w:val="16"/>
                <w:i w:val="1"/>
                <w:iCs w:val="1"/>
                <w:color w:val="auto"/>
                <w:w w:val="95"/>
              </w:rPr>
              <w:t>Audit (Chair); Strategic Review</w:t>
            </w: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4"/>
              </w:rPr>
              <w:t>Mr. Hasler served from 1984 to July 1991 as Vice Chairman of KPMG Peat Marwick, an international</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Age 77</w:t>
            </w: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public accounting firm, from July 1991 to July 1998 as Dean of the Haas School of Business,</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Director since</w:t>
            </w: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6"/>
              </w:rPr>
              <w:t>University of California, Berkeley, and from July 1998 to July 2004 as Co-Chief Executive Officer of</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July 2009</w:t>
            </w: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6"/>
              </w:rPr>
              <w:t>Aphton Corp., a biotechnology firm. He is a Certified Public Accountant. Mr. Hasler currently serves</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Term Expires in 2021</w:t>
            </w: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3"/>
              </w:rPr>
              <w:t>as a director of Ataraxis Biosciences and Rubicon Ltd., and during the past five years has served as a</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8"/>
              </w:rPr>
              <w:t>director of Aviat Networks, DiTech Networks Corp., Mission West Properties, the Schwab Funds,</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Selectron Corp., and Tousa Inc.</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3"/>
              </w:rPr>
              <w:t>Mr. Hasler has an extensive financial background and financial reporting expertise. Due to his financial</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4"/>
              </w:rPr>
              <w:t>leadership roles on other public company boards, he is well-suited to be both one of our directors and</w:t>
            </w:r>
          </w:p>
        </w:tc>
      </w:tr>
      <w:tr>
        <w:trPr>
          <w:trHeight w:val="206"/>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Chair of our Audit Committee.</w:t>
            </w:r>
          </w:p>
        </w:tc>
      </w:tr>
      <w:tr>
        <w:trPr>
          <w:trHeight w:val="658"/>
        </w:trPr>
        <w:tc>
          <w:tcPr>
            <w:tcW w:w="2200" w:type="dxa"/>
            <w:vAlign w:val="bottom"/>
          </w:tcPr>
          <w:p>
            <w:pPr>
              <w:ind w:left="20"/>
              <w:spacing w:after="0"/>
              <w:rPr>
                <w:sz w:val="20"/>
                <w:szCs w:val="20"/>
                <w:color w:val="auto"/>
              </w:rPr>
            </w:pPr>
            <w:r>
              <w:rPr>
                <w:rFonts w:ascii="Arial" w:cs="Arial" w:eastAsia="Arial" w:hAnsi="Arial"/>
                <w:sz w:val="16"/>
                <w:szCs w:val="16"/>
                <w:b w:val="1"/>
                <w:bCs w:val="1"/>
                <w:color w:val="auto"/>
              </w:rPr>
              <w:t>James Monroe III</w:t>
            </w:r>
          </w:p>
        </w:tc>
        <w:tc>
          <w:tcPr>
            <w:tcW w:w="2320" w:type="dxa"/>
            <w:vAlign w:val="bottom"/>
          </w:tcPr>
          <w:p>
            <w:pPr>
              <w:ind w:left="220"/>
              <w:spacing w:after="0"/>
              <w:rPr>
                <w:sz w:val="20"/>
                <w:szCs w:val="20"/>
                <w:color w:val="auto"/>
              </w:rPr>
            </w:pPr>
            <w:r>
              <w:rPr>
                <w:rFonts w:ascii="Arial" w:cs="Arial" w:eastAsia="Arial" w:hAnsi="Arial"/>
                <w:sz w:val="16"/>
                <w:szCs w:val="16"/>
                <w:i w:val="1"/>
                <w:iCs w:val="1"/>
                <w:color w:val="auto"/>
              </w:rPr>
              <w:t>Compensation (Chair)</w:t>
            </w: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4"/>
              </w:rPr>
              <w:t>Mr. Monroe has served in an executive capacity as the Chairman or Executive Chairman of the Board</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Age 64</w:t>
            </w:r>
          </w:p>
        </w:tc>
        <w:tc>
          <w:tcPr>
            <w:tcW w:w="2320" w:type="dxa"/>
            <w:vAlign w:val="bottom"/>
          </w:tcPr>
          <w:p>
            <w:pPr>
              <w:ind w:left="220"/>
              <w:spacing w:after="0"/>
              <w:rPr>
                <w:sz w:val="20"/>
                <w:szCs w:val="20"/>
                <w:color w:val="auto"/>
              </w:rPr>
            </w:pPr>
            <w:r>
              <w:rPr>
                <w:rFonts w:ascii="Arial" w:cs="Arial" w:eastAsia="Arial" w:hAnsi="Arial"/>
                <w:sz w:val="16"/>
                <w:szCs w:val="16"/>
                <w:i w:val="1"/>
                <w:iCs w:val="1"/>
                <w:color w:val="auto"/>
              </w:rPr>
              <w:t>Nominating and Corporate</w:t>
            </w: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since April 2004. He was our Chief Executive Officer from January 2005 until July 2009 and</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w w:val="99"/>
              </w:rPr>
              <w:t>Director since December 2003</w:t>
            </w:r>
          </w:p>
        </w:tc>
        <w:tc>
          <w:tcPr>
            <w:tcW w:w="2320" w:type="dxa"/>
            <w:vAlign w:val="bottom"/>
          </w:tcPr>
          <w:p>
            <w:pPr>
              <w:ind w:left="220"/>
              <w:spacing w:after="0"/>
              <w:rPr>
                <w:sz w:val="20"/>
                <w:szCs w:val="20"/>
                <w:color w:val="auto"/>
              </w:rPr>
            </w:pPr>
            <w:r>
              <w:rPr>
                <w:rFonts w:ascii="Arial" w:cs="Arial" w:eastAsia="Arial" w:hAnsi="Arial"/>
                <w:sz w:val="16"/>
                <w:szCs w:val="16"/>
                <w:i w:val="1"/>
                <w:iCs w:val="1"/>
                <w:color w:val="auto"/>
              </w:rPr>
              <w:t>Governance (Chair)</w:t>
            </w: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4"/>
              </w:rPr>
              <w:t>reassumed that position from July 2011 until September 2018. Since 1984, Mr. Monroe has been the</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Term Expires in 2021</w:t>
            </w: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7"/>
              </w:rPr>
              <w:t>majority owner of a diverse group of privately owned businesses that have operated in the fields of</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3"/>
              </w:rPr>
              <w:t>telecommunications, real estate, power generation, industrial equipment distribution, financial services</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and leasing services that are sometimes referred to collectively in this proxy statement as</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“Thermo.” Mr. Monroe controls, directly or indirectly, FL Investment Holdings, LLC, Globalstar</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Satellite, L.P. and Thermo Funding II LLC.</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9"/>
              </w:rPr>
              <w:t>In addition to being our primary financial sponsor, Mr. Monroe brings his long-term experience in</w:t>
            </w:r>
          </w:p>
        </w:tc>
      </w:tr>
      <w:tr>
        <w:trPr>
          <w:trHeight w:val="206"/>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investment, financing and the telecommunications industry to the Board.</w:t>
            </w:r>
          </w:p>
        </w:tc>
      </w:tr>
      <w:tr>
        <w:trPr>
          <w:trHeight w:val="658"/>
        </w:trPr>
        <w:tc>
          <w:tcPr>
            <w:tcW w:w="2200" w:type="dxa"/>
            <w:vAlign w:val="bottom"/>
          </w:tcPr>
          <w:p>
            <w:pPr>
              <w:ind w:left="20"/>
              <w:spacing w:after="0"/>
              <w:rPr>
                <w:sz w:val="20"/>
                <w:szCs w:val="20"/>
                <w:color w:val="auto"/>
              </w:rPr>
            </w:pPr>
            <w:r>
              <w:rPr>
                <w:rFonts w:ascii="Arial" w:cs="Arial" w:eastAsia="Arial" w:hAnsi="Arial"/>
                <w:sz w:val="16"/>
                <w:szCs w:val="16"/>
                <w:b w:val="1"/>
                <w:bCs w:val="1"/>
                <w:color w:val="auto"/>
              </w:rPr>
              <w:t>Michael J. Lovett</w:t>
            </w:r>
          </w:p>
        </w:tc>
        <w:tc>
          <w:tcPr>
            <w:tcW w:w="2320" w:type="dxa"/>
            <w:vAlign w:val="bottom"/>
          </w:tcPr>
          <w:p>
            <w:pPr>
              <w:ind w:left="220"/>
              <w:spacing w:after="0"/>
              <w:rPr>
                <w:sz w:val="20"/>
                <w:szCs w:val="20"/>
                <w:color w:val="auto"/>
              </w:rPr>
            </w:pPr>
            <w:r>
              <w:rPr>
                <w:rFonts w:ascii="Arial" w:cs="Arial" w:eastAsia="Arial" w:hAnsi="Arial"/>
                <w:sz w:val="16"/>
                <w:szCs w:val="16"/>
                <w:i w:val="1"/>
                <w:iCs w:val="1"/>
                <w:color w:val="auto"/>
              </w:rPr>
              <w:t>Audit; Compensation</w:t>
            </w: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9"/>
              </w:rPr>
              <w:t>Since October 2012, Mr. Lovett has served as managing partner of Eagle River Partners LLC, a</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Age 57</w:t>
            </w: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5"/>
              </w:rPr>
              <w:t>privately held investment and advisory company. Until April 2012, Mr. Lovett served as the CEO and</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w w:val="99"/>
              </w:rPr>
              <w:t>Director since December 2018</w:t>
            </w: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4"/>
              </w:rPr>
              <w:t>President of Charter Communications. Previously he was COO and joined Charter in August 2003 as</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Term Expires in 2021</w:t>
            </w: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5"/>
              </w:rPr>
              <w:t>Senior Vice President of Operations. Mr. Lovett has served as a member of the board of directors of</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4"/>
              </w:rPr>
              <w:t>various public and private companies, including Charter Communications from February 2010 to April</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5"/>
              </w:rPr>
              <w:t>2012, SATMAP Incorporated d/b/a Afiniti, a private Delaware company, from July 2012 to July 2017,</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3"/>
              </w:rPr>
              <w:t>and St. Louis Public Broadcasting Nine Network Media from June 2011 to February 2014. He has also</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3"/>
              </w:rPr>
              <w:t>served as a member of the advisory board of Afiniti, Ltd., a private Bermuda company, since February</w:t>
            </w:r>
          </w:p>
        </w:tc>
      </w:tr>
      <w:tr>
        <w:trPr>
          <w:trHeight w:val="206"/>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60" w:type="dxa"/>
            <w:vAlign w:val="bottom"/>
          </w:tcPr>
          <w:p>
            <w:pPr>
              <w:ind w:left="60"/>
              <w:spacing w:after="0"/>
              <w:rPr>
                <w:sz w:val="20"/>
                <w:szCs w:val="20"/>
                <w:color w:val="auto"/>
              </w:rPr>
            </w:pPr>
            <w:r>
              <w:rPr>
                <w:rFonts w:ascii="Arial" w:cs="Arial" w:eastAsia="Arial" w:hAnsi="Arial"/>
                <w:sz w:val="16"/>
                <w:szCs w:val="16"/>
                <w:color w:val="auto"/>
              </w:rPr>
              <w:t>2016.</w:t>
            </w:r>
          </w:p>
        </w:tc>
        <w:tc>
          <w:tcPr>
            <w:tcW w:w="58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401"/>
        </w:trPr>
        <w:tc>
          <w:tcPr>
            <w:tcW w:w="2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Mr. Lovett brings extensive experience to the Board with a demonstrated track record in the</w:t>
            </w:r>
          </w:p>
        </w:tc>
      </w:tr>
      <w:tr>
        <w:trPr>
          <w:trHeight w:val="206"/>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telecommunications industry.</w:t>
            </w:r>
          </w:p>
        </w:tc>
      </w:tr>
    </w:tbl>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to Elect Directors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holders of common stock, other than Thermo, are eligible to vote for this proposal. The two nominees who receive the highest number of votes cast by stockholders eligible to vote (a plurality) will be elected as directors. There is no provision for cumulative voting in the election of directors. If you do not vote for a particular nominee, or if you indicate “against” to vote for a particular nominee, your vote will not count “for” the nominee. “Abstentions” and “broker non-votes” will not count as a vote cast with respect to that nominee’s election. However, as described under “Quorum Requirement”, above, in these cases your vote will be counted for purposes of determining the existence of a quorum.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recommends that stockholders vote FOR the election of the two Class A director nominees.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5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PROPOSAL 2: RATIFICATION OF INDEPENDENT REGISTERED PUBLIC ACCOUNTING FIRM</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desires to obtain from the stockholders an indication of their approval or disapproval of the appointment by the Audit Committee of Crowe LLP, formerly known as Crowe Horwath LLP (“Crowe”), as our independent registered public accounting firm for 2019.</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Crowe has served as our independent registered public accounting firm beginning with the audit of the year ended December 31, 2005. We have been informed that neither Crowe nor any of its partners has any direct financial interest or any material indirect financial interest in Globalstar and during the past three years has not had any connection therewith in the capacity of promoter, underwriter, director, officer or employee.</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One or more representatives of Crowe will be present, either in person or by telephone, at the meeting, will have an opportunity to make a statement if they desire and will be available to respond to appropriate questions.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resolution is defeated, the adverse vote will be considered a direction to the Audit Committee to select another independent registered public accounting firm for 2020. The appointment for the year 2019 will be permitted to stand unless the Audit Committee becomes aware of other reasons for changing independent registered public accounting firms other than at the end of a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to Ratify the Appointment of Crowe</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affirmative vote of the holders of a majority of the shares of common stock represented, in person or by proxy, and entitled to vote at the meeting is required to ratify the appointment of Crowe.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recommends that stockholders vote FOR ratification of the appointment of Crowe as our independent registered public accounting firm for the year ending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APPROVAL OF THE THIRD AMENDED AND RESTATED GLOBALSTAR, INC. 2006 EQUITY INCENTIVE PLAN</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We are asking our stockholders to approve the Third Amended and Restated Globalstar, Inc. 2006 Equity Incentive Plan (the “Equity Incentive Plan” or “Plan”) for the purpose of establishing a new plan under certain Internal Revenue Service rules and interpretations, while allowing us to use shares already registered under the Plan. The Equity Incentive Plan was originally approved by the Board of Directors and the holders of a majority of our outstanding common stock on July 12, 2006 and became effective upon the registration of our common stock under the Securities Act of 1933 on November 1, 2006. The Plan was amended and restated at the 2008 Annual Meeting of Stockholders and further amended and restated at the 2016 Annual Meeting of Stockholders. We designed and adopted the Plan to enable us to implement a compensation program that attracts, motivates and retains experienced, highly qualified employees, directors and independent contractors who contribute to our financial success and whose interests, in the case of directors and employees, are aligned with those of our stockholders. Approval of the Plan will (i) extend the term of the Plan to 2029 and (ii) increase the maximum rate at which shares issued under the Plan may be withheld to satisfy recipients’ withholding tax obligations in connection with grants under the Plan. A copy of the Equity Incentive Plan is attached to this proxy statement as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and is incorporated herein by reference. A summary of the material terms of the Equity Incentive Plan is set forth below. Such summary does not purport to be a complete description of the Equity Incentive Plan and is qualified in its entirety by reference to the complete copy of the Equity Incentive Plan in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Plan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brief description of the material features of the Equity Incentive Plan. All share numbers below are as of April 2, 2019.</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Purpose</w:t>
      </w:r>
      <w:r>
        <w:rPr>
          <w:rFonts w:ascii="Arial" w:cs="Arial" w:eastAsia="Arial" w:hAnsi="Arial"/>
          <w:sz w:val="17"/>
          <w:szCs w:val="17"/>
          <w:color w:val="auto"/>
        </w:rPr>
        <w:t>. We intend the Equity Incentive Plan to make available incentives that will assist us in attracting, retaining and motivating employees,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consultants whose contributions are essential to our success. We may provide these incentives through the grant of stock options, stock appreciation rights, restricted stock purchase rights, restricted stock bonuses, restricted stock units, performance shares and performance units.</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Compensation Committee of our Board administers the Plan, although the Board or Compensation Committee may delegate to one</w:t>
      </w:r>
      <w:r>
        <w:rPr>
          <w:rFonts w:ascii="Arial" w:cs="Arial" w:eastAsia="Arial" w:hAnsi="Arial"/>
          <w:sz w:val="17"/>
          <w:szCs w:val="17"/>
          <w:i w:val="1"/>
          <w:iCs w:val="1"/>
          <w:color w:val="auto"/>
        </w:rPr>
        <w:t xml:space="preserve"> </w:t>
      </w:r>
      <w:r>
        <w:rPr>
          <w:rFonts w:ascii="Arial" w:cs="Arial" w:eastAsia="Arial" w:hAnsi="Arial"/>
          <w:sz w:val="17"/>
          <w:szCs w:val="17"/>
          <w:color w:val="auto"/>
        </w:rPr>
        <w:t>or more officers authority, subject to limitations specified by the Plan and the Board or committee, to grant awards to persons eligible for grants who are neither our officers nor directors. Subject to the provisions of the Equity Incentive Plan, the administrator will determine in its discretion the persons to whom and the times at which awards are granted, the types and sizes of such awards, and all of their terms and conditions. All awards must be evidenced by a written agreement between us and the participant. The administrator may amend, cancel or renew any award, waive any restrictions or conditions applicable to any award, and accelerate, or otherwise modify the vesting of any award. The administrator has the authority to</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96"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construe and interpret the terms of the Equity Incentive Plan and awards granted under it. References to the administrator in this description include the Compensation Committee or its delegate.</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Shares Subject to Equity Incentive Plan</w:t>
      </w:r>
      <w:r>
        <w:rPr>
          <w:rFonts w:ascii="Arial" w:cs="Arial" w:eastAsia="Arial" w:hAnsi="Arial"/>
          <w:sz w:val="16"/>
          <w:szCs w:val="16"/>
          <w:color w:val="auto"/>
        </w:rPr>
        <w:t>. The Equity Incentive Plan authorizes a total of 83.2 million shares of common stock. We will make appropriate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in the number of authorized shares and other numerical limits in the Equity Incentive Plan and in outstanding awards to prevent dilution or enlargement of participants’ rights in the event of a stock split or other change in our capital structure. Shares subject to awards which expire or are canceled or forfeited will again become available for issuance under the Equity Incentive Plan. The shares available will not be reduced by awards settled in cash or by shares withheld to satisfy tax withholding obligations. Only the net number of shares issued upon the exercise of stock appreciation rights or options exercised by tender of previously owned shares will be deducted from the shares available under the Equity Incentive Plan.</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The administrator may grant awards under the Equity Incentive Plan to employees, including officers, directors, or consultants or those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or future parent or subsidiary corporation or other affiliated entity. There are approximately 350 employees, four officers, seven directors, and twenty consultants eligible to participate in the Equity Incentive Plan. Although the administrator may grant incentive stock options only to employees, we may grant nonstatutory stock options, stock appreciation rights, restricted stock purchase rights, restricted stock bonuses, restricted stock units, performance shares and performance units to any eligible participant.</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administrator may grant nonstatutory stock options, “incentive stock options” within the meaning of Section 422 of the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Code (the “Code”), or any combination of these. The exercise price for each option may not be less than the fair market value of a share of our Common Stock on the date of grant. The term of all options may not exceed 10 years. Options vest and become exercisable at such times or upon such events and subject to such terms, conditions, performance criteria or restrictions as specified by the administrator. Unless a longer period is provided by the administrator, an option generally will remain exercisable for three months following the participant’s termination of service, except that if service terminates as a result of the participant’s death or disability, the option generally will remain exercisable for twelve months, but in any event not beyond the expiration of its term. An option held by a participant whose service is terminated for cause will immediately cease to be exercisable. We have issued and outstanding options for 8.1 million shares of Common Stock under the Equity Incentive Plan, of which approximately 0.5 million are in the money.</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stock appreciation right gives a participant the right to receive the appreciation in the fair market value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between the date of grant of the award and the date of its exercise. We may pay the appreciation either in cash or in shares of Common Stock, and may make this payment in a lump sum or defer payment in accordance with the terms of the participant’s award agreement. The administrator may grant stock appreciation rights under the Equity Incentive Plan in tandem with a related stock option or as a freestanding award. A tandem stock appreciation right is exercisable only at the time and to the same extent that the related option is exercisable, and its exercise causes the related option to be cancelled. Freestanding stock appreciation rights vest and become exercisable at the times and on the terms established by the administrator. The maximum term of any stock appreciation right granted under the Equity Incentive Plan is 10 years. We do not have any issued and outstanding stock appreciation rights under the Equity Incentive Plan.</w:t>
      </w:r>
    </w:p>
    <w:p>
      <w:pPr>
        <w:spacing w:after="0" w:line="19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The administrator may grant stock awards under the Equity Incentive Plan either in the form of a restricted stock purchase right, giving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an immediate right to purchase our Common Stock, or in the form of a restricted stock bonus, for which the participant furnishes consideration in the form of services to us. The administrator determines the purchase price payable under restricted stock purchase awards, which may be less than the then current fair market value of our Common Stock. Stock awards may be subject to vesting conditions based on such service or performance criteria as the administrator specifies, and the shares acquired may not be transferred by the participant until vested. Unless otherwise determined by the administrator, a participant will forfeit any unvested shares upon voluntary or involuntary termination of service for any reason, including death or disability. A participant will also be required to sell to us at cost, if requested, any unvested restricted shares acquired via a purchase right. Participants holding stock awards will have the right to vote the shares and to receive any dividends paid, except that dividends or other distributions paid in shares will be subject to the same restrictions as the original award. We have issued and outstanding 9.7 million shares of restricted stock awards under the Equity Incentive Plan.</w:t>
      </w:r>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 Restricted stock units granted under the Equity Incentive Plan represent a right to receive shares of Common Stock at a future</w:t>
      </w:r>
      <w:r>
        <w:rPr>
          <w:rFonts w:ascii="Arial" w:cs="Arial" w:eastAsia="Arial" w:hAnsi="Arial"/>
          <w:sz w:val="17"/>
          <w:szCs w:val="17"/>
          <w:i w:val="1"/>
          <w:iCs w:val="1"/>
          <w:color w:val="auto"/>
        </w:rPr>
        <w:t xml:space="preserve"> </w:t>
      </w:r>
      <w:r>
        <w:rPr>
          <w:rFonts w:ascii="Arial" w:cs="Arial" w:eastAsia="Arial" w:hAnsi="Arial"/>
          <w:sz w:val="17"/>
          <w:szCs w:val="17"/>
          <w:color w:val="auto"/>
        </w:rPr>
        <w:t>date determined in accordance with the participant’s award agreement. The administrator, in its discretion, may provide for settlement of any restricted stock unit by payment to the participant in cash of an amount equal to the fair market value on the payment date of the shares of stock issuable to the participant. No monetary payment is required for receipt of restricted stock units or the shares issued in settlement of the award, the consideration for which is furnished in the form of the participant’s services to the Company. The administrator may grant restricted stock unit awards subject to the attainment of performance goals similar to those described below in connection with performance shares and performance units, or may make the awards subject to vesting conditions similar to those applicable to stock awards. Participants have no voting rights or rights to receive cash dividends with respect to restricted stock unit awards until shares of Common Stock are issued in settlement of such awards. However, the administrator may grant restricted stock units that entitle their holders to receive dividend equivalents, which are rights to receive additional restricted stock units for a number of shares whose value is equal to any cash dividends we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76" w:right="239" w:bottom="1440" w:gutter="0" w:footer="0" w:header="0"/>
        </w:sectPr>
      </w:pPr>
    </w:p>
    <w:bookmarkStart w:id="13" w:name="page14"/>
    <w:bookmarkEnd w:id="13"/>
    <w:p>
      <w:pPr>
        <w:jc w:val="both"/>
        <w:ind w:right="20"/>
        <w:spacing w:after="0" w:line="342" w:lineRule="auto"/>
        <w:rPr>
          <w:sz w:val="20"/>
          <w:szCs w:val="20"/>
          <w:color w:val="auto"/>
        </w:rPr>
      </w:pPr>
      <w:r>
        <w:rPr>
          <w:rFonts w:ascii="Arial" w:cs="Arial" w:eastAsia="Arial" w:hAnsi="Arial"/>
          <w:sz w:val="16"/>
          <w:szCs w:val="16"/>
          <w:color w:val="auto"/>
        </w:rPr>
        <w:t>pay. Unless otherwise determined by the administrator, a participant will forfeit any unvested restricted stock units upon voluntary or involuntary termination of service for any reason, including death or disability. We have issued and outstanding 0.8 million restricted stock units under the Equity Incentive Plan.</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Performance Shares and Performance Units</w:t>
      </w:r>
      <w:r>
        <w:rPr>
          <w:rFonts w:ascii="Arial" w:cs="Arial" w:eastAsia="Arial" w:hAnsi="Arial"/>
          <w:sz w:val="17"/>
          <w:szCs w:val="17"/>
          <w:color w:val="auto"/>
        </w:rPr>
        <w:t>. The administrator may grant performance shares and performance units under the Plan, which are awards</w:t>
      </w:r>
      <w:r>
        <w:rPr>
          <w:rFonts w:ascii="Arial" w:cs="Arial" w:eastAsia="Arial" w:hAnsi="Arial"/>
          <w:sz w:val="17"/>
          <w:szCs w:val="17"/>
          <w:i w:val="1"/>
          <w:iCs w:val="1"/>
          <w:color w:val="auto"/>
        </w:rPr>
        <w:t xml:space="preserve"> </w:t>
      </w:r>
      <w:r>
        <w:rPr>
          <w:rFonts w:ascii="Arial" w:cs="Arial" w:eastAsia="Arial" w:hAnsi="Arial"/>
          <w:sz w:val="17"/>
          <w:szCs w:val="17"/>
          <w:color w:val="auto"/>
        </w:rPr>
        <w:t>that will result in a payment to a participant only if specified performance goals are achieved during a specified performance period. Performance share awards are denominated in shares of our Common Stock, and performance unit awards are denominated in dollars. In granting a performance share or unit award, the administrator establishes the applicable performance goals based on one or more measures of business performance enumerated in the Plan, such as revenue, gross margin, net income, free cash flow, return on capital or market share. To the extent earned, performance share and unit awards may be settled in cash, shares of Common Stock, including restricted stock, or any combination of these. Payments may be made in lump sum or on a deferred basis. If payments are to be made on a deferred basis, the administrator may provide for the payment of dividend equivalents or interest during the deferral period. Unless otherwise determined by the administrator, if a participant’s service terminates due to death or disability prior to completion of the applicable performance period, the final award value is determined at the end of the period on the basis of the performance goals attained during the entire period, but payment is prorated for the portion of the period during which the participant remained in service. Except as otherwise provided by the Equity Incentive Plan, if a participant’s service terminates for any other reason, the participant forfeits the performance shares or units. We have issued and outstanding 2.0 million performance shares under the Equity Incentive Plan.</w:t>
      </w:r>
    </w:p>
    <w:p>
      <w:pPr>
        <w:spacing w:after="0" w:line="1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If we are subject to a change in control as described in the Equity Incentive Plan, the acquiring or successor entity may assume or</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awards outstanding under the Equity Incentive Plan or substitute substantially equivalent awards. Any awards which are not assumed or continued in connection with a change in control or exercised or settled prior to the change in control will terminate effective as of the time of the change in control. The administrator may provide for the acceleration of vesting of any or all outstanding awards upon such terms and to such extent as it determines. The Equity Incentive Plan also authorizes the administrator, in its discretion and without the consent of any participant, to cancel each or any outstanding award denominated in shares of Common Stock upon a change in control in exchange for a payment to the participant with respect to each vested share (or unvested share, if so determined) subject to the canceled award of an amount equal to the excess of the consideration to be paid per share of Common Stock in the change in control transaction over the exercise or purchase price per share under the award.</w:t>
      </w:r>
    </w:p>
    <w:p>
      <w:pPr>
        <w:spacing w:after="0" w:line="1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Plan will continue in effect until it is terminated by the administrator, provided, however, that all awards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if at all, within 10 years of the effective date of the Equity Incentive Plan. The administrator may amend, suspend or terminate the Equity Incentive Plan at any time, provided that without stockholder approval, the Equity Incentive Plan cannot be amended to increase the number of shares authorized, change the class of persons eligible to receive incentive stock options or effect any other change that would require stockholder approval under any applicable law or listing rule. Amendment, suspension or termination of the Equity Incentive Plan will not adversely affect any outstanding award without the consent of the participant, unless such amendment, suspension or termination is necessary to comply with applicable law, regulation or rule.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administrator may grant future benefits under the Equity Incentive Plan in its discretion and therefore we cannot currently determine future benefits, except as described below. Between January 1, 2018 and April 2, 2019, we granted stock options, restricted stock awards and restricted stock units under the Equity Incentive Plan to certain of our directors and executive officers as set forth below in the "Compensation Discussion and Analysis" section. During the same period, we also granted 0.7 million options on shares of Common Stock, 14.2 million restricted stock awards, and 1.1 million restricted stock units to all of our employees (other than our executive officers) under the Equity Incentive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Awards</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following is a summary of U.S. federal income tax consequences of awards granted under the Plan, based on current U.S. federal income tax laws. This summary does not constitute legal or tax advice and does not address municipal, state or foreign income tax consequences. The specific tax consequences arising with respect to awards granted under the Equity Incentive Plan will depend on the type of award. From the recipients’ standpoint, as a general rule, ordinary income will be recognized at the time of payment of cash or delivery of actual shares. Future appreciation on shares held beyond the ordinary income recognition event will be taxable at capital gains rates when the shares are sold. As a general rule, we will be entitled to a tax deduction that corresponds in time and amount to the ordinary income recognized by the recipient, and we will not be entitled to any tax deduction in respect of capital gain income recognized by the recipient. Exceptions to these general rules may arise under the following circumstances: (i) if shares, when delivered, are subject to a substantial risk of forfeiture by reason of failure to satisfy any employment or performance-related condition, ordinary income taxation and our tax deduction will be delayed until the risk of forfeiture lapses (unless the recipient makes a special election to ignore the risk of forfeiture); (ii) if an employee is granted an option that qualifies as an “incentive stock option,” no ordinary income will be recognized, and we will not be entitled to any tax</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76" w:right="239" w:bottom="1440" w:gutter="0" w:footer="0" w:header="0"/>
        </w:sectPr>
      </w:pPr>
    </w:p>
    <w:bookmarkStart w:id="14" w:name="page15"/>
    <w:bookmarkEnd w:id="14"/>
    <w:p>
      <w:pPr>
        <w:jc w:val="both"/>
        <w:spacing w:after="0" w:line="297" w:lineRule="auto"/>
        <w:rPr>
          <w:sz w:val="20"/>
          <w:szCs w:val="20"/>
          <w:color w:val="auto"/>
        </w:rPr>
      </w:pPr>
      <w:r>
        <w:rPr>
          <w:rFonts w:ascii="Arial" w:cs="Arial" w:eastAsia="Arial" w:hAnsi="Arial"/>
          <w:sz w:val="16"/>
          <w:szCs w:val="16"/>
          <w:color w:val="auto"/>
        </w:rPr>
        <w:t>deduction, if shares acquired upon exercise of such option are held more than the longer of one year from the date of exercise and two years from the date of grant; (iii) we will not be entitled to a tax deduction for compensation attributable to awards granted to our covered employees, if and to the extent such compensation, along with any other compensation paid in the same calendar year, exceeds $1 million; and (iv) an award may be taxable at 20 percentage points above ordinary income tax rates at the time it becomes vested, even if that is prior to the delivery of the cash or stock in settlement of the award, if the award constitutes “deferred compensation” under Code Section 409A, and the requirements of Code Section 409A are not satisfied.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Awards under the Equity Incentive Plan will be granted in amounts and to individuals as determined by the administrator. Therefore, the benefits or amounts that will be received by employees, officers, directors and consultants under the Equity Incentive Plan are not determinable at this time.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to Approve the Third Amended and Restated Globalstar, Inc. 2006 Equity Incentive Plan</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affirmative vote of the holders of a majority of the shares of common stock represented, in person or by proxy, and entitled to vote at the meeting is required to approve the Third Amended and Restated 2006 Equity Incentive Plan. “Abstentions” and “broker non-votes” will not count as a vote cast with respect to the approval of the Third Amended and Restated Globalstar, Inc. 2006 Equity Incentive Plan. However, as described under “Quorum Requirement”, above, in these cases your vote will be counted for purposes of determining the existence of a quorum.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Board recommends that stockholders vote FOR the approval of the Third Amended and Restated Globalstar, Inc. 2006 Equity Incentive Plan.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APPROVAL OF THE AMENDED AND RESTATED GLOBALSTAR, INC. EMPLOYEE STOCK PURCHASE PLAN</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We are asking our stockholders to approve the amendment to the Globalstar, Inc. Employee Stock Purchase Plan (the “ESPP”) for the purpose of (i) increasing the number of shares available under the ESPP from 7 million to 14 million and (ii) providing for annual increases in the number of shares available under the ESPP of up to 2% of our total number of outstanding share of common stock at the discretion of the Board. The ESPP was originally approved by the Board of Directors and the holders of a majority of our outstanding common stock and became effective in June 2011. We designed and adopted the ESPP to encourage employees to acquire a stake in Globalstar through stock ownership and align their interest with those of our stockholders. A copy of the amended ESPP is attached to this proxy statement as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and is incorporated herein by reference. A summary of the material terms of the ESPP is set forth below. Such summary does not purport to be a complete description of the Amended and Restated ESPP and is qualified in its entirety by reference to the complete copy of the Amended and Restated ESPP in </w:t>
      </w:r>
      <w:r>
        <w:rPr>
          <w:rFonts w:ascii="Arial" w:cs="Arial" w:eastAsia="Arial" w:hAnsi="Arial"/>
          <w:sz w:val="17"/>
          <w:szCs w:val="17"/>
          <w:u w:val="single" w:color="auto"/>
          <w:color w:val="auto"/>
        </w:rPr>
        <w:t>Appendix B.</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Plan Information</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ESPP provides a convenient and advantageous way for employees to acquire an equity interest in the Company, thereby further aligning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the employees and the Company’s stockholders. The ESPP is intended to meet the requirements of Section 423 of the Internal Revenue Code. If the requirements of Section 423 are met, participants will have the opportunity to take advantage of certain federal income tax benefits.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Compensation Committee of our Board administers the ESPP, although the Board or Compensation Committee may delegate its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one or more officers, subject to limitations specified by the ESPP and the Board or committee. The administrator has the authority to construe and interpret the terms of the ESPP and rights granted under it. References to the administrator in this description include the Compensation Committee or its delegate.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Shares Subject to Employee Stock Purchase Plan</w:t>
      </w:r>
      <w:r>
        <w:rPr>
          <w:rFonts w:ascii="Arial" w:cs="Arial" w:eastAsia="Arial" w:hAnsi="Arial"/>
          <w:sz w:val="18"/>
          <w:szCs w:val="18"/>
          <w:color w:val="auto"/>
        </w:rPr>
        <w:t>. The maximum aggregate number of shares of Common Stock that may be purchased through the ESPP</w:t>
      </w:r>
      <w:r>
        <w:rPr>
          <w:rFonts w:ascii="Arial" w:cs="Arial" w:eastAsia="Arial" w:hAnsi="Arial"/>
          <w:sz w:val="18"/>
          <w:szCs w:val="18"/>
          <w:i w:val="1"/>
          <w:iCs w:val="1"/>
          <w:color w:val="auto"/>
        </w:rPr>
        <w:t xml:space="preserve"> </w:t>
      </w:r>
      <w:r>
        <w:rPr>
          <w:rFonts w:ascii="Arial" w:cs="Arial" w:eastAsia="Arial" w:hAnsi="Arial"/>
          <w:sz w:val="18"/>
          <w:szCs w:val="18"/>
          <w:color w:val="auto"/>
        </w:rPr>
        <w:t>is 7 million shares; as amended by this Proposal, the aggregate number of available shares will be increased to 14 million shares and the aggregate number of available shares will be increased on an annual basis by up to 2% of our total number of outstanding shares of common stock at the Board’s discretion. The number of shares that may be purchased through the ESPP will be subject to proportionate adjustments to reflect stock splits, stock dividends, or other changes in our capital stock. Shares of common stock purchased through the ESPP may be treasury shares, newly issued shares or shares purchased on the open market.</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Participation in the ESPP is available to employees who have been employed by the Company or, unless otherwise determined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a subsidiary of the Company that is a corporation or is treated as a corporation or a division for tax purposes, for at least six months on a regular full- or part-time basis. Non-management directors, leased employees,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76"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employees who typically work 20 or fewer hours per week or less than five months per year, independent contractors and employees who own stock possessing 5% or more of the total combined voting power or value of all classes of the Company’s or a subsidiary’s capital stock are not eligible to participate in the ESPP. Approximately 246 employees are eligible to participate in the ESPP.</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The ESPP provides eligible employees of the Company and its subsidiaries with an opportunity conveniently to acquire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at a discount.</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ESPP permits eligible employees to purchase shares of Common Stock through payroll deductions during two annual offering periods beginning on June 15 and December 15, unless adjusted by the Board or one of its designated committees (the “Offering Periods”). Eligible employees may purchase shares through payroll deductions of up to 15% of total compensation per pay period, but may purchase no more than $25,000 worth of shares of Common Stock or 500,000 shares of Common Stock in any calendar year, as measured as of the first day of each applicable Offering Period. The price an employee pays is 85% of the fair market value of Common Stock. Fair market value is equal to the lesser of the closing price of a share of Common Stock on either the first or last day of the Offering Period.</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Upon a merger or consolidation involving the Company in which the Company is not the surviving corporation or upon a liquidation of the Company, the Board may terminate the ESPP, provide for a new purchase date for the remaining Offering Period, or take such other action as it deems appropriate and is acceptable to the Company’s successor. Upon termination of the ESPP, all rights to purchase shares through the ESPP will expire and all uninvested amounts contributed will be returned to participants. The ESPP may be terminated or amended by our Board at any time in its sole discretion, but may not be amended, without prior stockholder approval, to increase the maximum number of shares issuable or to reduce the purchase price per share. The proceeds of stock sales received by the Company under the ESPP will constitute general funds of the Company and may be used by us for any purpose.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2, 2019, the closing sale price for a share of our Common Stock reported on The New York Stock Exchange was $0.42.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ESPP is intended to qualify for the federal income tax treatment available to participants in an employee stock purchase ESPP that meets the requirements of Section 423 of the Internal Revenue Code. An employee who participates in a plan that qualifies under Section 423 will not realize income at the time he or she enrolls in the ESPP or purchases shares. If an employee does not dispose of the shares within two years following the last day of the Offering Period in which shares were acquired, then upon disposition of the shares the employee will realize ordinary income equal to the lesser of (i) the excess of the fair market value of the shares on the last day of the Offering Period in which such shares were acquired over the price the employee paid to acquire the shares or (ii) the amount by which the net proceeds received by the employee from the sale of the shares exceed the price paid by the employee to acquire the shares. Any further gain on such sale will be taxed as capital gain. No income tax deduction will be allowed the Company for shares purchased by the employee, provided such shares are held for the period described above.</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an employee disposes of shares within the period described above, the employee will recognize ordinary income equal to the lesser of (i) the excess of the fair market value of the shares on the date of purchase under the ESPP over the price the employee paid to acquire the shares or (ii) the amount by which the net proceeds received by the employee on the sale of the shares exceeds the price the employee paid to acquire the shares. (Any further gain on such sale will be taxed as capital gain.) In such instances, the Company will generally be entitled to a tax deduction equal to the amount of ordinary income recognized by the employee.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Participation in the ESPP is voluntary and each employee will make his or her own decision regarding whether and to what extent to participate in the ESPP. Accordingly, any benefits or amounts that will be received by officers and other employees under the ESPP are not determinable at this time.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to Approve the Amended and Restated Globalstar, Inc. Employee Stock Purchase Plan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affirmative vote of the holders of a majority of the shares of common stock represented, in person or by proxy, and entitled to vote at the meeting is required to approve the amendment to the Employee Stock Purchase Plan. “Abstentions” and “broker non-votes” will not count as a vote cast with respect to the approval of the Globalstar, Inc. Employee Stock Purchase Plan. However, as described under “Quorum Requirement”, above, in these cases your vote will be counted for purposes of determining the existence of a quorum.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Board recommends that stockholders vote FOR the approval of the amendment to the Globalstar, Inc. Employee Stock Purchase Plan.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76" w:right="239" w:bottom="1440" w:gutter="0" w:footer="0" w:header="0"/>
        </w:sectPr>
      </w:pPr>
    </w:p>
    <w:bookmarkStart w:id="16" w:name="page17"/>
    <w:bookmarkEnd w:id="16"/>
    <w:p>
      <w:pPr>
        <w:ind w:left="3280"/>
        <w:spacing w:after="0"/>
        <w:rPr>
          <w:sz w:val="20"/>
          <w:szCs w:val="20"/>
          <w:color w:val="auto"/>
        </w:rPr>
      </w:pPr>
      <w:r>
        <w:rPr>
          <w:rFonts w:ascii="Arial" w:cs="Arial" w:eastAsia="Arial" w:hAnsi="Arial"/>
          <w:sz w:val="18"/>
          <w:szCs w:val="18"/>
          <w:b w:val="1"/>
          <w:bCs w:val="1"/>
          <w:color w:val="auto"/>
        </w:rPr>
        <w:t>INFORMATION ABOUT THE BOARD AND ITS COMMITTEES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Governance, Meetings and Attendance at Meetings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has four standing committees: Audit, Compensation, Nominating and Governance, and Strategic Review. The Board has adopted a charter for each standing committee.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Code of Conduct that is applicable to all employees, including executive officers, as well as to directors to the extent relevant to their service as directors. The committee charters and Code of Conduct are available on our website at www.globalstar.com/corporate/investors under “Corporate Governance.” You may request a copy of any of these documents to be mailed to you as described on page 31 of this proxy statement. We will post any amendments to, or waivers from, the Code of Conduct that apply to our principal executive and financial officers on our website. At the date of this proxy statement, no such waivers have been requested or granted.</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Thermo companies listed under Security Ownership of Principal Stockholders and Management hold stock representing a majority of our voting power. As a result, we are a “controlled company” for purposes of the NYSE American rules and are not required to have a majority of independent directors on the Board or to comply with the requirements for compensation and nominating/governance committees. However, we are subject to all other NYSE American corporate governance requirements, including the rule requiring that the audit committee be composed entirely of independent directors.</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has determined that Messrs. Cowen, Hasler, Lovett, and Wolff are independent directors as defined in Rule 10A-3 under the Securities Exchange Act of 1934 and in the NYSE American rules. This determination was based on the absence of any relationship known to the Board between Messrs. Cowen, Hasler, Lovett, Wolff and us (other than as a director and stockholder), and on the Board’s conclusion that the relationship described below does not affect the independence of any of them as a Director.</w:t>
      </w:r>
    </w:p>
    <w:p>
      <w:pPr>
        <w:spacing w:after="0" w:line="18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During 2018, the Board held 13 meetings and took action by unanimous written consent four times. Each director serving on the Board in 2018 attended at least 75% of the meetings of the Board and of each committee on which he served in each case during the time he was a director.</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 specific policy regarding director attendance at the Annual Meeting. Mr. Roberts attended the 2018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Since September 2018, Mr. Kagan has served as our Chief Executive Officer and Mr. Monroe as the Executive Chairman of the Board. Mr. Kagan has responsibility for all activities related to the Company’s satellite business. Mr. Monroe, as Executive Chairman, is responsible for strategic financing efforts and liquidity matters, other than the Company’s senior credit facility which is the responsibility of Mr. Kagan. In addition, subject to the authority of the Strategic Review Committee as provided in our Second Amended and Restated Certificate of Incorporation and our Fourth Amended and Restated By-laws, which we agreed to adopt in December 2018, Mr. Monroe has primary responsibility for all strategic terrestrial spectrum-related activities on a global basis, including the Company’s ongoing efforts to standardize and monetize its terrestrial spectrum assets.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Monroe dually served as our Chairman and Chief Executive Officer since our initial public offering in November 2006 through September 2018, with the exception of July 2009 through July 2011. During this two-year period, and again in September 2018, the Board, with input from Mr. Monroe, changed our leadership structure with the appointment of a Chief Executive Officer, resulting in split positions for the Chief Executive Officer and Chairman of the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Board’s Role in Risk Oversight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Board has determined that the role of risk oversight will remain with the full Board rather than having responsibility delegated to a specific committee, although the Audit Committee continues to focus on accounting and financial risks. Our executive officers evaluate and manage day-to-day risks and report regularly to the Board on these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current members of the Audit Committee are Messrs. Hasler, Wolff and Lovett. Prior to December 28, 2018, the members of the Committee were Mr. Hasler, J. Patrick McIntyre and John M. R. Kneuer. Mr. Hasler serves as Chairman, and the Board has determined that he is an “audit committee financial expert” as defined by SEC rules.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88" w:right="2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The principal functions of the Audit Committee, which are reflected in the committee's charter, include:</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appointing and replacing our independent registered public accounting firm;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approving all fees and all audit and non-audit services of the independent registered public accounting firm;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annually reviewing the independence of the independent registered public accounting firm;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assessing annual audit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periodically reassessing the effectiveness of the independent registered public accounting firm;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our financial and accounting policies and our annual and quarterly financial statements;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accounting controls and monitoring progress for compliance with Section 404 of the Sarbanes-Oxley Act;</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our programs for compliance with laws, regulations and company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approving all related person transactions not otherwise delegated to the Strategic Review Committee;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Conduct for senior executive and financial officers (which waivers would be subject to Board approval);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connection with the foregoing, meeting with our independent registered public accounting firm and financial management.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2018, the Audit Committee held four meetings and did not take action by unanimous written consent.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has furnished the following report for inclusion in this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Report for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other activities, the Audit Committee:</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reviewed and discussed with management the Company’s audited financial statements for 2018;</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discussed with Crowe LLP, the Company’s independent registered public accounting firm, the matters required to be discussed by accounting and PCAOB standards, including significant accounting policies, management’s judgments and accounting estimates, and Crowe’s judgments about the quality of the Company’s accounting principles as applied in its financial reporting;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Crowe required by the applicable requirements of the PCAOB regarding the independent accountant’s communications with the Audit Committee concerning the accountant’s independence from the Company and its subsidiaries, and discussed with Crowe their independence.</w:t>
      </w:r>
    </w:p>
    <w:p>
      <w:pPr>
        <w:spacing w:after="0" w:line="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financial statements for the year ended December 31, 2018 be included in the Company’s Annual Report on Form 10-K for filing with the Securities and Exchange Commission.</w:t>
      </w:r>
    </w:p>
    <w:p>
      <w:pPr>
        <w:spacing w:after="0" w:line="357" w:lineRule="exact"/>
        <w:rPr>
          <w:sz w:val="20"/>
          <w:szCs w:val="20"/>
          <w:color w:val="auto"/>
        </w:rPr>
      </w:pPr>
    </w:p>
    <w:p>
      <w:pPr>
        <w:ind w:left="520"/>
        <w:spacing w:after="0"/>
        <w:tabs>
          <w:tab w:leader="none" w:pos="6240" w:val="left"/>
        </w:tabs>
        <w:rPr>
          <w:sz w:val="20"/>
          <w:szCs w:val="20"/>
          <w:color w:val="auto"/>
        </w:rPr>
      </w:pPr>
      <w:r>
        <w:rPr>
          <w:rFonts w:ascii="Arial" w:cs="Arial" w:eastAsia="Arial" w:hAnsi="Arial"/>
          <w:sz w:val="18"/>
          <w:szCs w:val="18"/>
          <w:color w:val="auto"/>
        </w:rPr>
        <w:t>April 2, 2019</w:t>
      </w:r>
      <w:r>
        <w:rPr>
          <w:sz w:val="20"/>
          <w:szCs w:val="20"/>
          <w:color w:val="auto"/>
        </w:rPr>
        <w:tab/>
      </w:r>
      <w:r>
        <w:rPr>
          <w:rFonts w:ascii="Arial" w:cs="Arial" w:eastAsia="Arial" w:hAnsi="Arial"/>
          <w:sz w:val="17"/>
          <w:szCs w:val="17"/>
          <w:color w:val="auto"/>
        </w:rPr>
        <w:t>William A. Hasler, Chair</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Benjamin G. Wolff</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Michael J. Lovett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current members of the Compensation Committee are Messrs. Monroe, Wolff, and Lovett. Mr. Monroe serves as Chairman. The principal functions of the Compensation Committee include:</w:t>
      </w:r>
    </w:p>
    <w:p>
      <w:pPr>
        <w:spacing w:after="0" w:line="62"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executive officers in light of business strategies and objectives;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recommending to the Board compensation for our chief executive officer and other executive officers;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administering our incentive compensation plans, including the 2006 Equity Incentive Plan, and, in this capacity, approving or recommending to the Board all grants or awards to our directors, executive officers and other eligible participants under these plans.</w:t>
      </w:r>
    </w:p>
    <w:p>
      <w:pPr>
        <w:spacing w:after="0" w:line="7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indicated above, the Compensation Committee is responsible for approving or recommending to the Board the compensation of each of our executive officers. (Director compensation is established by the Board, based upon recommendations of the Chief Executive Officer.) The Compensation Committee may delegate tasks to a subcommittee for any purpose and with such power and authority as the Compensation Committee deems appropriate from time to time. Currently, it has delegated to Mr. Monroe the review of corporate goals, objectives and compensation related to executive officers other than himself. The Committee has also designated Mr. Monroe and Mr. Roberts to act as officer-administrators by approving actions on behalf of the Committee to</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76" w:right="2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implement existing compensation awards under the Company's Equity Incentive Plan. Only the Compensation Committee or the Board may grant awards under this Plan to executive officers and directors, or make decisions regarding these awards.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Monroe makes decisions on all components of compensation for all employees of vice president level and above and reviews manager level employees and below for bonus and equity awards based upon input from executive officers in charge of each business unit. Mr. Monroe does not receive a salary from us for his services as Executive Chairman, though he does receive the compensation described under “Compensation of Directors,” below, for his services as a director. Notwithstanding his position as Executive Chairman, Mr. Monroe generally does not participate in any of our incentive compensation plans.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meets in person as often as it determines necessary to discharge its responsibilities. The Committee may hold follow-up conference calls and act by written consent between its meetings. In 2018, the Compensation Committee held two meetings and did not take action by unanimous written consent. Unless a later date is specified, the date of grant of any award made by unanimous written consent is the date on which the last consent is received by our Corporate Secretary.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its charter, the Committee has the authority to retain and terminate a compensation consultant, but has not retained one.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 has furnished the following report for inclusion in this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 Report for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comprise the members of the Compensation Committee of the Company’s Board of Directors.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Committee has reviewed and discussed the Compensation Discussion and Analysis presented below with the Company’s management. Based upon that review and those discussions, the Committee recommended to the Board of Directors that the Compensation Discussion and Analysis be included in this proxy statement.</w:t>
      </w:r>
    </w:p>
    <w:p>
      <w:pPr>
        <w:spacing w:after="0" w:line="357" w:lineRule="exact"/>
        <w:rPr>
          <w:sz w:val="20"/>
          <w:szCs w:val="20"/>
          <w:color w:val="auto"/>
        </w:rPr>
      </w:pPr>
    </w:p>
    <w:p>
      <w:pPr>
        <w:ind w:left="520"/>
        <w:spacing w:after="0"/>
        <w:tabs>
          <w:tab w:leader="none" w:pos="6240" w:val="left"/>
        </w:tabs>
        <w:rPr>
          <w:sz w:val="20"/>
          <w:szCs w:val="20"/>
          <w:color w:val="auto"/>
        </w:rPr>
      </w:pPr>
      <w:r>
        <w:rPr>
          <w:rFonts w:ascii="Arial" w:cs="Arial" w:eastAsia="Arial" w:hAnsi="Arial"/>
          <w:sz w:val="18"/>
          <w:szCs w:val="18"/>
          <w:color w:val="auto"/>
        </w:rPr>
        <w:t>April 2, 2019</w:t>
      </w:r>
      <w:r>
        <w:rPr>
          <w:sz w:val="20"/>
          <w:szCs w:val="20"/>
          <w:color w:val="auto"/>
        </w:rPr>
        <w:tab/>
      </w:r>
      <w:r>
        <w:rPr>
          <w:rFonts w:ascii="Arial" w:cs="Arial" w:eastAsia="Arial" w:hAnsi="Arial"/>
          <w:sz w:val="16"/>
          <w:szCs w:val="16"/>
          <w:color w:val="auto"/>
        </w:rPr>
        <w:t>James Monroe III, Chair</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Benjamin G. Wolff</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Michael J. Lovett</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current members of the Nominating and Governance Committee are Messrs. Cowan and Monroe. Mr. Monroe serves as Chairman. The principal functions of the Nominating and Governance Committee include:</w:t>
      </w:r>
    </w:p>
    <w:p>
      <w:pPr>
        <w:spacing w:after="0" w:line="1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and recommending to the Board qualified candidates to fill vacancies on the Board;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recommending to the Board candidates to be nominated for election as directors at annual meetings of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considering stockholder suggestions for nominees for director;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recommendations to the Board regarding corporate governance matters and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director compensation;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public policy matters of importance to our stockholders, including oversight of our corporate responsibility program.</w:t>
      </w:r>
    </w:p>
    <w:p>
      <w:pPr>
        <w:spacing w:after="0" w:line="157"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color w:val="auto"/>
        </w:rPr>
        <w:t>The Nominating and Governance Committee met one time in 2018 and it did not take action by written consent during the year. We do not currently employ an executive search firm, or pay a fee to any other third party, to locate or evaluate qualified candidates for director positions. The Board and the Nominating and Governance Committee believe that the minimum qualifications (whether a candidate is recommended by a stockholder, management or the Board) for serving as a director are that a nominee demonstrate, by significant accomplishment in his or her field, an ability to make a meaningful contribution to the Board’s oversight of our business and have an impeccable record and reputation for honest and ethical conduct in both his or her professional and personal activities. The Board has not adopted a policy with regard to board diversity.</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Board has not established formal procedures for stockholders to submit director recommendations; however, such recommendations may be sent by US Postal Service mail to the Nominating and Governance Committee, c/o Corporate Secretary, 1095 Nimitzview Drive, Suite 201A, Cincinnati, Ohio 45230, or by e-mail to corporate.secretary@globalstar.com, and should be sent by not later than December 31 of the year before the year in which the director candidate is recommended for election. If we were to receive such a recommendation of a candidate from a stockholder, the Nominating and Governance Committee would consider the recommendation in the same manner as all other candidates. In considering candidates submitted by stockholders, the Nominating and Governance Committee will take into consideration the needs of the Board and the qualifications of the candidate. We did not receive any recommendations of candidates from stockholders during 2018.</w:t>
      </w:r>
    </w:p>
    <w:p>
      <w:pPr>
        <w:sectPr>
          <w:pgSz w:w="11900" w:h="16838" w:orient="portrait"/>
          <w:cols w:equalWidth="0" w:num="1">
            <w:col w:w="11420"/>
          </w:cols>
          <w:pgMar w:left="240" w:top="476"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76"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Strategic Review Committee</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December 28, 2018, Globalstar established a standing “Strategic Review Committee” and designated Messrs. Cowan, Wolff, Taylor and Hasler as members of the Strategic Review Committee. The Strategic Review Committee is required to remain in existence for as long as Thermo and its affiliates own and its affiliates beneficially own forty-five percent (45%) or more of Globalstar’s outstanding common stock (the “Thermo Minimum Shares”). Unless the Strategic Review Committee is prohibited under applicable law from having the power or authority to act on any of the following matters, the Strategic Review Committee has exclusive responsibility for oversight, review, and approval (to the extent permitted by law) or disapproval of the following:</w:t>
      </w:r>
    </w:p>
    <w:p>
      <w:pPr>
        <w:spacing w:after="0" w:line="158" w:lineRule="exact"/>
        <w:rPr>
          <w:sz w:val="20"/>
          <w:szCs w:val="20"/>
          <w:color w:val="auto"/>
        </w:rPr>
      </w:pPr>
    </w:p>
    <w:p>
      <w:pPr>
        <w:ind w:left="660" w:hanging="4"/>
        <w:spacing w:after="0" w:line="277" w:lineRule="auto"/>
        <w:tabs>
          <w:tab w:leader="none" w:pos="9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acquisition by Thermo of additional newly-issued securities of the Company (other than pursuant to a Permitted Financing, a Debt Conversion, or an Option Conversion, each defined below);</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extraordinary corporate transaction, such as a merger, reorganization, or liquidation, involving the Company or any of its subsidiaries;</w:t>
      </w:r>
    </w:p>
    <w:p>
      <w:pPr>
        <w:spacing w:after="0" w:line="236" w:lineRule="exact"/>
        <w:rPr>
          <w:rFonts w:ascii="Arial" w:cs="Arial" w:eastAsia="Arial" w:hAnsi="Arial"/>
          <w:sz w:val="17"/>
          <w:szCs w:val="17"/>
          <w:color w:val="auto"/>
        </w:rPr>
      </w:pPr>
    </w:p>
    <w:p>
      <w:pPr>
        <w:ind w:left="660" w:hanging="4"/>
        <w:spacing w:after="0" w:line="277" w:lineRule="auto"/>
        <w:tabs>
          <w:tab w:leader="none" w:pos="9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sale or transfer of a material amount of assets of the Company or any sale or transfer of assets of any of the Company’s subsidiaries which are material to the Company;</w:t>
      </w:r>
    </w:p>
    <w:p>
      <w:pPr>
        <w:spacing w:after="0" w:line="170" w:lineRule="exact"/>
        <w:rPr>
          <w:rFonts w:ascii="Arial" w:cs="Arial" w:eastAsia="Arial" w:hAnsi="Arial"/>
          <w:sz w:val="18"/>
          <w:szCs w:val="18"/>
          <w:color w:val="auto"/>
        </w:rPr>
      </w:pPr>
    </w:p>
    <w:p>
      <w:pPr>
        <w:jc w:val="both"/>
        <w:ind w:left="660" w:hanging="4"/>
        <w:spacing w:after="0" w:line="259" w:lineRule="auto"/>
        <w:tabs>
          <w:tab w:leader="none" w:pos="9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change in the Board, including any plans or proposals to change the number or term of directors, other than nominations for election or reelection to the Board (except nominations for election or reelection of Minority Directors in connection with the end of a term of a Minority Director) and nominations and appointments of individuals to fill vacancies or newly created directorships (except nominations and appointments to fill vacancies of Minority Director seats);</w:t>
      </w:r>
    </w:p>
    <w:p>
      <w:pPr>
        <w:spacing w:after="0" w:line="186" w:lineRule="exact"/>
        <w:rPr>
          <w:rFonts w:ascii="Arial" w:cs="Arial" w:eastAsia="Arial" w:hAnsi="Arial"/>
          <w:sz w:val="18"/>
          <w:szCs w:val="18"/>
          <w:color w:val="auto"/>
        </w:rPr>
      </w:pPr>
    </w:p>
    <w:p>
      <w:pPr>
        <w:ind w:left="660" w:hanging="4"/>
        <w:spacing w:after="0" w:line="277" w:lineRule="auto"/>
        <w:tabs>
          <w:tab w:leader="none" w:pos="9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Company (other than pursuant to a Permitted Financing, a Debt Conversion, or an Option Conversion);</w:t>
      </w:r>
    </w:p>
    <w:p>
      <w:pPr>
        <w:spacing w:after="0" w:line="170" w:lineRule="exact"/>
        <w:rPr>
          <w:rFonts w:ascii="Arial" w:cs="Arial" w:eastAsia="Arial" w:hAnsi="Arial"/>
          <w:sz w:val="18"/>
          <w:szCs w:val="18"/>
          <w:color w:val="auto"/>
        </w:rPr>
      </w:pPr>
    </w:p>
    <w:p>
      <w:pPr>
        <w:ind w:left="660" w:hanging="4"/>
        <w:spacing w:after="0" w:line="277" w:lineRule="auto"/>
        <w:tabs>
          <w:tab w:leader="none" w:pos="9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material changes in the Company’s lines of business or corporate structure (other than pursuant to a Permitted Financing, a Debt Conversion, or an Option Conversion); and</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10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transaction between the Company, on the one hand, and one or more of the Thermo stockholders, on the other hand, that has a value (as determined in good faith by the Strategic Review Committee) in excess of $250,000, except for any Permitted Financing, any Debt Conversion, any Option Conversion, and certain other matters.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as long as Thermo and its affiliates own the Thermo Minimum Shares, to the extent that any of the foregoing matters, or any matter set forth in the charter of the Strategic Review Committee, requires approval of the full Board under applicable law, the Company does not have the power to take such action unless such action is approved by the Board only after it is recommended to the Board by the Strategic Review Committee.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enumerated transactions are not subject to Strategic Review Committee review:</w:t>
      </w:r>
    </w:p>
    <w:p>
      <w:pPr>
        <w:spacing w:after="0" w:line="225" w:lineRule="exact"/>
        <w:rPr>
          <w:sz w:val="20"/>
          <w:szCs w:val="20"/>
          <w:color w:val="auto"/>
        </w:rPr>
      </w:pPr>
    </w:p>
    <w:p>
      <w:pPr>
        <w:ind w:left="660" w:hanging="4"/>
        <w:spacing w:after="0" w:line="277" w:lineRule="auto"/>
        <w:tabs>
          <w:tab w:leader="none" w:pos="8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financing that includes participation by one or more of the Thermo stockholders on terms equal (as determined in good faith by the Board) to other parties (including the common stock offering made pursuant to the Settlement Agreement) (a “Permitted Financing”);</w:t>
      </w:r>
    </w:p>
    <w:p>
      <w:pPr>
        <w:spacing w:after="0" w:line="170" w:lineRule="exact"/>
        <w:rPr>
          <w:rFonts w:ascii="Arial" w:cs="Arial" w:eastAsia="Arial" w:hAnsi="Arial"/>
          <w:sz w:val="18"/>
          <w:szCs w:val="18"/>
          <w:color w:val="auto"/>
        </w:rPr>
      </w:pPr>
    </w:p>
    <w:p>
      <w:pPr>
        <w:ind w:left="660" w:hanging="4"/>
        <w:spacing w:after="0" w:line="277" w:lineRule="auto"/>
        <w:tabs>
          <w:tab w:leader="none" w:pos="9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conversion of subordinated debt held by Thermo into capital stock of the Company in accordance with the terms of such debt as existing as of December 14, 2018 (a “Debt Conversion”);</w:t>
      </w:r>
    </w:p>
    <w:p>
      <w:pPr>
        <w:spacing w:after="0" w:line="170" w:lineRule="exact"/>
        <w:rPr>
          <w:rFonts w:ascii="Arial" w:cs="Arial" w:eastAsia="Arial" w:hAnsi="Arial"/>
          <w:sz w:val="18"/>
          <w:szCs w:val="18"/>
          <w:color w:val="auto"/>
        </w:rPr>
      </w:pPr>
    </w:p>
    <w:p>
      <w:pPr>
        <w:ind w:left="660" w:hanging="4"/>
        <w:spacing w:after="0" w:line="277" w:lineRule="auto"/>
        <w:tabs>
          <w:tab w:leader="none" w:pos="9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exercise of options by any Thermo Stockholder (including, for the avoidance of doubt, Mr. Monroe) in accordance with the terms of such options as existing as of December 14, 2018 (an “Option Conversion”);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lease with respect to the Company’s headquarters.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Strategic Review Committee requires the affirmative vote of a majority of its authorized number of members (regardless of vacancies thereon) in order to take action at a meeting. To the extent the Strategic Review Committee fails to obtain such vote on any particular matter of business before it, the Strategic Review Committee consults with the Board until such vote is obtained or the matter is otherwise resolved and abandoned. In the event the Strategic Review Committee cannot obtain such vote for any single nominee for Minority Director, then the Strategic Review Committee shall nominate two such nominees for each Minority Director seat subject to election. The members of the Strategic Review Committee who are Minority Directors shall each have three votes with respect to one nominee for Minority Director and the members of the Strategic Review Committee who are not Minority Directors shall each have three votes with respect to the other nominee for Minority Director. The Strategic Review Committee may nominate and include on the annual or special meeting proxy card two candidates for a Minority Director seat.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7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Communicating with the Board of Directors or with Individual Directors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has adopted a process for our stockholders to send communications to the Board or any management or non-management director. Correspondence should be addressed to the Board or any individual director(s) or group or committee of directors either by name or title. All correspondence of this nature should be sent c/o Corporate Secretary to us by US Postal Service mail at 1095 Nimitzview Drive, Suite 201A, Cincinnati, Ohio 45230.</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All communications received as set forth in the preceding paragraph will be opened by the office of the Secretary for the sole purpose of determining whether the contents represent a message to the directors. Any contents that are not in the nature of promotion of a product or service, advertising, or patently offensive will be forwarded promptly to the addressee(s), but any communication also will be available to any director who requests it.</w:t>
      </w:r>
    </w:p>
    <w:p>
      <w:pPr>
        <w:spacing w:after="0" w:line="25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compensation paid to our directors during 2018.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6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Stock</w:t>
            </w: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Option</w:t>
            </w:r>
          </w:p>
        </w:tc>
        <w:tc>
          <w:tcPr>
            <w:tcW w:w="168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All Other</w:t>
            </w:r>
          </w:p>
        </w:tc>
        <w:tc>
          <w:tcPr>
            <w:tcW w:w="134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420" w:type="dxa"/>
            <w:vAlign w:val="bottom"/>
          </w:tcPr>
          <w:p>
            <w:pPr>
              <w:ind w:left="580"/>
              <w:spacing w:after="0"/>
              <w:rPr>
                <w:sz w:val="20"/>
                <w:szCs w:val="20"/>
                <w:color w:val="auto"/>
              </w:rPr>
            </w:pPr>
            <w:r>
              <w:rPr>
                <w:rFonts w:ascii="Arial" w:cs="Arial" w:eastAsia="Arial" w:hAnsi="Arial"/>
                <w:sz w:val="18"/>
                <w:szCs w:val="18"/>
                <w:b w:val="1"/>
                <w:bCs w:val="1"/>
                <w:color w:val="auto"/>
              </w:rPr>
              <w:t>Fees Earned or Paid</w:t>
            </w:r>
          </w:p>
        </w:tc>
        <w:tc>
          <w:tcPr>
            <w:tcW w:w="146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Awards</w:t>
            </w:r>
          </w:p>
        </w:tc>
        <w:tc>
          <w:tcPr>
            <w:tcW w:w="168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Compensation</w:t>
            </w: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34"/>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2420" w:type="dxa"/>
            <w:vAlign w:val="bottom"/>
          </w:tcPr>
          <w:p>
            <w:pPr>
              <w:ind w:left="960"/>
              <w:spacing w:after="0"/>
              <w:rPr>
                <w:sz w:val="20"/>
                <w:szCs w:val="20"/>
                <w:color w:val="auto"/>
              </w:rPr>
            </w:pPr>
            <w:r>
              <w:rPr>
                <w:rFonts w:ascii="Arial" w:cs="Arial" w:eastAsia="Arial" w:hAnsi="Arial"/>
                <w:sz w:val="18"/>
                <w:szCs w:val="18"/>
                <w:b w:val="1"/>
                <w:bCs w:val="1"/>
                <w:color w:val="auto"/>
              </w:rPr>
              <w:t>in Cash (8)</w:t>
            </w: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($)(1)</w:t>
            </w: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($)(1)</w:t>
            </w:r>
          </w:p>
        </w:tc>
        <w:tc>
          <w:tcPr>
            <w:tcW w:w="168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81"/>
        </w:trPr>
        <w:tc>
          <w:tcPr>
            <w:tcW w:w="3160" w:type="dxa"/>
            <w:vAlign w:val="bottom"/>
            <w:tcBorders>
              <w:bottom w:val="single" w:sz="8" w:color="auto"/>
            </w:tcBorders>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Monroe III (2)</w:t>
            </w:r>
          </w:p>
        </w:tc>
        <w:tc>
          <w:tcPr>
            <w:tcW w:w="242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25,844</w:t>
            </w:r>
          </w:p>
        </w:tc>
        <w:tc>
          <w:tcPr>
            <w:tcW w:w="16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75,844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James F. Lynch (2), (3), (7)</w:t>
            </w:r>
          </w:p>
        </w:tc>
        <w:tc>
          <w:tcPr>
            <w:tcW w:w="2420" w:type="dxa"/>
            <w:vAlign w:val="bottom"/>
          </w:tcPr>
          <w:p>
            <w:pPr>
              <w:ind w:left="19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197,000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54,154</w:t>
            </w:r>
          </w:p>
        </w:tc>
        <w:tc>
          <w:tcPr>
            <w:tcW w:w="1680" w:type="dxa"/>
            <w:vAlign w:val="bottom"/>
          </w:tcPr>
          <w:p>
            <w:pPr>
              <w:ind w:left="1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251,154</w:t>
            </w:r>
          </w:p>
        </w:tc>
      </w:tr>
      <w:tr>
        <w:trPr>
          <w:trHeight w:val="27"/>
        </w:trPr>
        <w:tc>
          <w:tcPr>
            <w:tcW w:w="3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William A. Hasler (2), (3), (4), (7)</w:t>
            </w:r>
          </w:p>
        </w:tc>
        <w:tc>
          <w:tcPr>
            <w:tcW w:w="242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270,500</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115,300</w:t>
            </w:r>
          </w:p>
        </w:tc>
        <w:tc>
          <w:tcPr>
            <w:tcW w:w="16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385,800</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Keith O. Cowan (2)</w:t>
            </w:r>
          </w:p>
        </w:tc>
        <w:tc>
          <w:tcPr>
            <w:tcW w:w="2420" w:type="dxa"/>
            <w:vAlign w:val="bottom"/>
          </w:tcPr>
          <w:p>
            <w:pPr>
              <w:ind w:left="19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25,844</w:t>
            </w:r>
          </w:p>
        </w:tc>
        <w:tc>
          <w:tcPr>
            <w:tcW w:w="1680" w:type="dxa"/>
            <w:vAlign w:val="bottom"/>
          </w:tcPr>
          <w:p>
            <w:pPr>
              <w:ind w:left="1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75,844</w:t>
            </w:r>
          </w:p>
        </w:tc>
      </w:tr>
      <w:tr>
        <w:trPr>
          <w:trHeight w:val="27"/>
        </w:trPr>
        <w:tc>
          <w:tcPr>
            <w:tcW w:w="3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Benjamin G. Wolff (2)</w:t>
            </w:r>
          </w:p>
        </w:tc>
        <w:tc>
          <w:tcPr>
            <w:tcW w:w="242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25,844</w:t>
            </w:r>
          </w:p>
        </w:tc>
        <w:tc>
          <w:tcPr>
            <w:tcW w:w="16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75,844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Michael J. Lovett (2)</w:t>
            </w:r>
          </w:p>
        </w:tc>
        <w:tc>
          <w:tcPr>
            <w:tcW w:w="2420" w:type="dxa"/>
            <w:vAlign w:val="bottom"/>
          </w:tcPr>
          <w:p>
            <w:pPr>
              <w:ind w:left="19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25,844</w:t>
            </w:r>
          </w:p>
        </w:tc>
        <w:tc>
          <w:tcPr>
            <w:tcW w:w="1680" w:type="dxa"/>
            <w:vAlign w:val="bottom"/>
          </w:tcPr>
          <w:p>
            <w:pPr>
              <w:ind w:left="1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75,844</w:t>
            </w:r>
          </w:p>
        </w:tc>
      </w:tr>
      <w:tr>
        <w:trPr>
          <w:trHeight w:val="27"/>
        </w:trPr>
        <w:tc>
          <w:tcPr>
            <w:tcW w:w="3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Timothy E. Taylor (2), (5)</w:t>
            </w:r>
          </w:p>
        </w:tc>
        <w:tc>
          <w:tcPr>
            <w:tcW w:w="242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25,844</w:t>
            </w:r>
          </w:p>
        </w:tc>
        <w:tc>
          <w:tcPr>
            <w:tcW w:w="16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75,844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Richard S. Roberts (3), (6), (7)</w:t>
            </w:r>
          </w:p>
        </w:tc>
        <w:tc>
          <w:tcPr>
            <w:tcW w:w="2420" w:type="dxa"/>
            <w:vAlign w:val="bottom"/>
          </w:tcPr>
          <w:p>
            <w:pPr>
              <w:ind w:left="19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147,000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28,310</w:t>
            </w:r>
          </w:p>
        </w:tc>
        <w:tc>
          <w:tcPr>
            <w:tcW w:w="1680" w:type="dxa"/>
            <w:vAlign w:val="bottom"/>
          </w:tcPr>
          <w:p>
            <w:pPr>
              <w:ind w:left="1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175,310</w:t>
            </w:r>
          </w:p>
        </w:tc>
      </w:tr>
      <w:tr>
        <w:trPr>
          <w:trHeight w:val="27"/>
        </w:trPr>
        <w:tc>
          <w:tcPr>
            <w:tcW w:w="3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 Patrick McIntyre (3), (4), (6), (7)</w:t>
            </w:r>
          </w:p>
        </w:tc>
        <w:tc>
          <w:tcPr>
            <w:tcW w:w="242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257,336</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185,854</w:t>
            </w:r>
          </w:p>
        </w:tc>
        <w:tc>
          <w:tcPr>
            <w:tcW w:w="16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443,190</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Kenneth M. Young (3), (4), (6), (7)</w:t>
            </w:r>
          </w:p>
        </w:tc>
        <w:tc>
          <w:tcPr>
            <w:tcW w:w="2420" w:type="dxa"/>
            <w:vAlign w:val="bottom"/>
          </w:tcPr>
          <w:p>
            <w:pPr>
              <w:ind w:left="19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257,336</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39,356</w:t>
            </w:r>
          </w:p>
        </w:tc>
        <w:tc>
          <w:tcPr>
            <w:tcW w:w="1680" w:type="dxa"/>
            <w:vAlign w:val="bottom"/>
          </w:tcPr>
          <w:p>
            <w:pPr>
              <w:ind w:left="1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296,692</w:t>
            </w:r>
          </w:p>
        </w:tc>
      </w:tr>
      <w:tr>
        <w:trPr>
          <w:trHeight w:val="27"/>
        </w:trPr>
        <w:tc>
          <w:tcPr>
            <w:tcW w:w="3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John M. R. Kneuer (3), (4), (6), (7)</w:t>
            </w:r>
          </w:p>
        </w:tc>
        <w:tc>
          <w:tcPr>
            <w:tcW w:w="242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257,336</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180,284</w:t>
            </w:r>
          </w:p>
        </w:tc>
        <w:tc>
          <w:tcPr>
            <w:tcW w:w="16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437,620</w:t>
            </w:r>
          </w:p>
        </w:tc>
      </w:tr>
      <w:tr>
        <w:trPr>
          <w:trHeight w:val="27"/>
        </w:trPr>
        <w:tc>
          <w:tcPr>
            <w:tcW w:w="31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32"/>
        <w:spacing w:after="0" w:line="259" w:lineRule="auto"/>
        <w:tabs>
          <w:tab w:leader="none" w:pos="5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aggregate grant date fair value computed consistent with FASB ASC Topic 718. For further discussion of our accounting policies for stock-based compensation and assumptions used in calculating the grant date fair value of stock-based compensation awards, see Note 14 to the Consolidated Financial Statements in our 2018 Annual Report on Form 10-K. The actual amount of compensation realized, if any, for option awards may differ from the amounts presented in the table.</w:t>
      </w:r>
    </w:p>
    <w:p>
      <w:pPr>
        <w:spacing w:after="0" w:line="186" w:lineRule="exact"/>
        <w:rPr>
          <w:rFonts w:ascii="Arial" w:cs="Arial" w:eastAsia="Arial" w:hAnsi="Arial"/>
          <w:sz w:val="18"/>
          <w:szCs w:val="18"/>
          <w:color w:val="auto"/>
        </w:rPr>
      </w:pPr>
    </w:p>
    <w:p>
      <w:pPr>
        <w:jc w:val="both"/>
        <w:ind w:firstLine="332"/>
        <w:spacing w:after="0" w:line="264" w:lineRule="auto"/>
        <w:tabs>
          <w:tab w:leader="none" w:pos="5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December 27, 2018, we granted 106,383 restricted stock awards with a grant date fair value of $0.47 per share and options to purchase 100,000 shares of common stock with a grant date fair value of $0.26 per share. The restricted stock awards vest over a one-year period and the options to purchase shares of common stock vest in one-third increments over a three-year period.</w:t>
      </w:r>
    </w:p>
    <w:p>
      <w:pPr>
        <w:spacing w:after="0" w:line="181" w:lineRule="exact"/>
        <w:rPr>
          <w:rFonts w:ascii="Arial" w:cs="Arial" w:eastAsia="Arial" w:hAnsi="Arial"/>
          <w:sz w:val="18"/>
          <w:szCs w:val="18"/>
          <w:color w:val="auto"/>
        </w:rPr>
      </w:pPr>
    </w:p>
    <w:p>
      <w:pPr>
        <w:ind w:firstLine="332"/>
        <w:spacing w:after="0" w:line="277" w:lineRule="auto"/>
        <w:tabs>
          <w:tab w:leader="none" w:pos="5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March 1, 2018, we granted 150,000 restricted stock awards with a grant date fair value of $0.98 per share and a three-year vesting period. We accelerated the vesting of certain of these awards as discussed in footnote 7 below.</w:t>
      </w:r>
    </w:p>
    <w:p>
      <w:pPr>
        <w:spacing w:after="0" w:line="170" w:lineRule="exact"/>
        <w:rPr>
          <w:rFonts w:ascii="Arial" w:cs="Arial" w:eastAsia="Arial" w:hAnsi="Arial"/>
          <w:sz w:val="18"/>
          <w:szCs w:val="18"/>
          <w:color w:val="auto"/>
        </w:rPr>
      </w:pPr>
    </w:p>
    <w:p>
      <w:pPr>
        <w:jc w:val="both"/>
        <w:ind w:firstLine="332"/>
        <w:spacing w:after="0" w:line="312" w:lineRule="auto"/>
        <w:tabs>
          <w:tab w:leader="none" w:pos="594"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March 1, 2018, we granted 75,000 restricted stock awards with a grant date fair value of $0.98 per share which vested on December 31, 2018 designed to provide compensation for the directors' efforts on behalf of the Company's special committee of independent directors in connection with the proposed FiberLight transaction. We extended the vesting period to January 2, 2019 for certain of these awards as discussed in footnote 7 below.</w:t>
      </w:r>
    </w:p>
    <w:p>
      <w:pPr>
        <w:spacing w:after="0" w:line="146" w:lineRule="exact"/>
        <w:rPr>
          <w:rFonts w:ascii="Arial" w:cs="Arial" w:eastAsia="Arial" w:hAnsi="Arial"/>
          <w:sz w:val="16"/>
          <w:szCs w:val="16"/>
          <w:color w:val="auto"/>
        </w:rPr>
      </w:pPr>
    </w:p>
    <w:p>
      <w:pPr>
        <w:ind w:left="580" w:hanging="248"/>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Taylor also received compensation during 2018 for his service as a Vice President of the Company. This compensation is not reflected in the table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above.</w:t>
      </w:r>
    </w:p>
    <w:p>
      <w:pPr>
        <w:spacing w:after="0" w:line="210" w:lineRule="exact"/>
        <w:rPr>
          <w:rFonts w:ascii="Arial" w:cs="Arial" w:eastAsia="Arial" w:hAnsi="Arial"/>
          <w:sz w:val="16"/>
          <w:szCs w:val="16"/>
          <w:color w:val="auto"/>
        </w:rPr>
      </w:pPr>
    </w:p>
    <w:p>
      <w:pPr>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Messrs. Roberts, McIntyre, Young and Kneuer departed from the Board of Directors in December 2018.</w:t>
      </w:r>
    </w:p>
    <w:p>
      <w:pPr>
        <w:spacing w:after="0" w:line="225" w:lineRule="exact"/>
        <w:rPr>
          <w:rFonts w:ascii="Arial" w:cs="Arial" w:eastAsia="Arial" w:hAnsi="Arial"/>
          <w:sz w:val="18"/>
          <w:szCs w:val="18"/>
          <w:color w:val="auto"/>
        </w:rPr>
      </w:pPr>
    </w:p>
    <w:p>
      <w:pPr>
        <w:jc w:val="both"/>
        <w:ind w:firstLine="332"/>
        <w:spacing w:after="0" w:line="257" w:lineRule="auto"/>
        <w:tabs>
          <w:tab w:leader="none" w:pos="5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result of the departure of four members of the board of directors in December 2018, the Company modified certain terms for all stock options outstanding for the four departing directors and the three members of the Board of Directors who were not departing (collectively, the "Former Board"). In connection with this modification, all unvested stock options held by members of the Former Board vested and the term of all stock options held by such members was extended to a new ten-year period. Additionally, the Company accelerated the vesting of outstanding restricted stock awards for three of the four departing members</w:t>
      </w:r>
    </w:p>
    <w:p>
      <w:pPr>
        <w:sectPr>
          <w:pgSz w:w="11900" w:h="16838" w:orient="portrait"/>
          <w:cols w:equalWidth="0" w:num="1">
            <w:col w:w="11420"/>
          </w:cols>
          <w:pgMar w:left="240" w:top="472"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72" w:right="239" w:bottom="1440" w:gutter="0" w:footer="0" w:header="0"/>
          <w:type w:val="continuous"/>
        </w:sectPr>
      </w:pPr>
    </w:p>
    <w:bookmarkStart w:id="21" w:name="page22"/>
    <w:bookmarkEnd w:id="21"/>
    <w:p>
      <w:pPr>
        <w:jc w:val="both"/>
        <w:spacing w:after="0" w:line="276" w:lineRule="auto"/>
        <w:rPr>
          <w:sz w:val="20"/>
          <w:szCs w:val="20"/>
          <w:color w:val="auto"/>
        </w:rPr>
      </w:pPr>
      <w:r>
        <w:rPr>
          <w:rFonts w:ascii="Arial" w:cs="Arial" w:eastAsia="Arial" w:hAnsi="Arial"/>
          <w:sz w:val="17"/>
          <w:szCs w:val="17"/>
          <w:color w:val="auto"/>
        </w:rPr>
        <w:t>of the Board of Directors. In total, the seven members of the Former Board had options to purchase approximately 3.4 million shares. Additionally, three departing members of the Board of Directors had unvested restricted stock awards of 0.5 million shares in total. The incremental compensation cost recognized upon modification of the stock options was $0.6 million and upon acceleration of the vesting of the restricted stock awards was $0.1 million, both of which were recognized during the year ended December 31, 2018 in accordance with applicable accounting guidance. This incremental fair value for each director and each type of grant (options to purchase common stock and restricted stock awards) is reflected in the table above.</w:t>
      </w:r>
    </w:p>
    <w:p>
      <w:pPr>
        <w:spacing w:after="0" w:line="64" w:lineRule="exact"/>
        <w:rPr>
          <w:sz w:val="20"/>
          <w:szCs w:val="20"/>
          <w:color w:val="auto"/>
        </w:rPr>
      </w:pPr>
    </w:p>
    <w:p>
      <w:pPr>
        <w:ind w:firstLine="332"/>
        <w:spacing w:after="0" w:line="277" w:lineRule="auto"/>
        <w:tabs>
          <w:tab w:leader="none" w:pos="5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2018, our directors did not receive cash compensation; however, effective during 2019, annual cash compensation will be paid to each current director in the amount of $50,000.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current executive officers of the Company are James Monroe III, Executive Chairman; David B. Kagan, Chief Executive Officer; Rebecca S. Clary, Vice President and Chief Financial Officer; and L. Barbee Ponder IV, Vice President of Regulatory Affairs and General Counsel. Information about Mr. Monroe is given above under “Proposal 1: Election of Directors: Information about Continuing Directors.”</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David B. Kagan</w:t>
      </w:r>
      <w:r>
        <w:rPr>
          <w:rFonts w:ascii="Arial" w:cs="Arial" w:eastAsia="Arial" w:hAnsi="Arial"/>
          <w:sz w:val="18"/>
          <w:szCs w:val="18"/>
          <w:color w:val="auto"/>
        </w:rPr>
        <w:t>, age 57, has been our Chief Executive Officer since September 2018. He served as our President and Chief Operating Officer from</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2016 through March 2017 and reassumed the positions in December 2017 through September 2018. Mr. Kagan previously served as Chief Operating Officer of SpeedCast International Limited from March 2017 through November 2017, President of ITC Global LLC, a global satellite services company, from August 2014 through its sale to Panasonic in September 2015, and President and Chief Executive Officer of Globe Wireless LLC from June 2011 through its sale to Inmarsat in August 2014. He also served as Senior Vice President - Business Development of Spacenet, Inc. from March 2010 to June 2011.</w:t>
      </w:r>
    </w:p>
    <w:p>
      <w:pPr>
        <w:spacing w:after="0" w:line="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Rebecca S. Clary</w:t>
      </w:r>
      <w:r>
        <w:rPr>
          <w:rFonts w:ascii="Arial" w:cs="Arial" w:eastAsia="Arial" w:hAnsi="Arial"/>
          <w:sz w:val="17"/>
          <w:szCs w:val="17"/>
          <w:color w:val="auto"/>
        </w:rPr>
        <w:t>, age 40, has been our Vice President and Chief Financial Officer since August 2014. She served as our Chief Accounting Officer from</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2013 to August 2014 and as Corporate Controller from June 2011 to January 2013. Prior to joining Globalstar, she was a manager with PricewaterhouseCoopers LLP in its U.S. Audit and Assurance Services Practice. Ms. Clary is a Certified Public Accountant.</w:t>
      </w:r>
    </w:p>
    <w:p>
      <w:pPr>
        <w:spacing w:after="0" w:line="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L. Barbee Ponder IV</w:t>
      </w:r>
      <w:r>
        <w:rPr>
          <w:rFonts w:ascii="Arial" w:cs="Arial" w:eastAsia="Arial" w:hAnsi="Arial"/>
          <w:sz w:val="18"/>
          <w:szCs w:val="18"/>
          <w:color w:val="auto"/>
        </w:rPr>
        <w:t>, age 52, has been our General Counsel and Vice President of Regulatory Affairs since July 2010. He owned and operated a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timber, sand and gravel, and oil and gas interests from 2005 to July 2010. Mr. Ponder served in various Regulatory Counsel positions for BellSouth Corporation from 1996 to 2005. Prior to joining BellSouth, Mr. Ponder practiced with the Jones Walker law firm in New Orleans, where he specialized in commercial litigation including class action defense.</w:t>
      </w:r>
    </w:p>
    <w:p>
      <w:pPr>
        <w:spacing w:after="0" w:line="23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COMPENSATION OF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Compensation Discussion and Analysis (CD&amp;A) should be read in conjunction with the compensation tables beginning on page 23. Our named executive officers for 2018 were:</w:t>
      </w:r>
    </w:p>
    <w:p>
      <w:pPr>
        <w:spacing w:after="0" w:line="62" w:lineRule="exact"/>
        <w:rPr>
          <w:sz w:val="20"/>
          <w:szCs w:val="20"/>
          <w:color w:val="auto"/>
        </w:rPr>
      </w:pPr>
    </w:p>
    <w:p>
      <w:pPr>
        <w:ind w:left="66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David B. Kagan, Chief Executive Officer (from September 2018), President and Chief Operating Officer (from January 2017 through March 2017 and upon reappointment in December 2017 through September 2018)</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James Monroe III, Executive Chairman (from September 2018) and former Chief Executive Officer (until September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Rebecca S. Clary, Vice President and Chief Financial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 Barbee Ponder IV, General Counsel and Vice President Regulatory Affairs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compensation program for executive officers is intended to:</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each officer with a conservative base salary;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create an incentive for retention and achievement of our long-term business goals using a sizable, multi-year stock or option bonus program.</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is responsible for evaluating the performance of, and reviewing and approving all compensation paid to, our executive officers, including those executive officers named on the Summary Compensation Table (the “named executive officers”). To preserve the exemption from short swing liability under Section 16(b) of the Securities Exchange Act of 1934, the Board approves equity awards to all executive officers (including the named executive officers) and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2017 Say-on-Pay Vote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2017, we provided our stockholders with the opportunity to provide a non-binding advisory vote on executive compensation and the frequency with which stockholders will be provided an advisory vote on executive compensation. At our 2017 Annual Meeting, 99% of the stockholders who voted on the “say-on-pay” proposal approved the compensation of our named executive officers and 92% of the stockholders voted to approve the frequency with which stockholders will be provided an advisory vote on executive compensation voted for this approval to occur every three years. As a result, the next say-on-pay vote will occur at our 2020 Annual Meeting.</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8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Compensation Philosophy</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goal is to create performance-based compensation that motivates management to increase stockholder value. Our current Executive Chairman does not receive cash any compensation for his services as Executive Chairman, though he does receive compensation described under “Compensation of Directors,” above, for his services as a director. We compensate our other senior executive officers with a conservative base salary and incentivize them to remain with us through stock-based compensation and discretionary bonuses (which may be paid in cash or stock). The Compensation Committee has not independently reviewed peer group or other market data in setting base salaries or incentive compensation for senior executives. Because our compensation programs are limited, we do not have policies regarding the allocation of compensation between short and long-term or cash and non-cash.</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believe that our compensation policies or practices are reasonably likely to have a material effect on us, due in part to the structure of our compensation programs and risk mitigation provided by Board oversight of significant business decisions.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Elements of Compensation</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principal elements of our compensation for the named executive officers are base salary, discretionary bonus, and the opportunity to receive equity-based compensation pursuant to the Amended and Restated 2006 Equity Incentive Plan through time or incentive based awards under our annual bonus plan.</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u w:val="single" w:color="auto"/>
          <w:color w:val="auto"/>
        </w:rPr>
        <w:t>Base Salaries</w:t>
      </w:r>
      <w:r>
        <w:rPr>
          <w:rFonts w:ascii="Arial" w:cs="Arial" w:eastAsia="Arial" w:hAnsi="Arial"/>
          <w:sz w:val="18"/>
          <w:szCs w:val="18"/>
          <w:color w:val="auto"/>
        </w:rPr>
        <w:t>. We have established base salaries according to each named executive officer’s position, responsibilities and performance. All executive officers are at-will employees.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Grants</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2018, the Committee granted restricted stock awards of 120,000 shares to each of Mr. Kagan, Ms. Clary and Mr. Ponder which vest over a three-year period and are designed to recognize performance and to encourage retention. The Committee also granted restricted stock awards to Mr. Kagan, Ms. Clary and Mr. Ponder of 30,000, 260,000 and 260,000, respectively, as additional incentive compensation; these awards vested one-third immediately and the remaining awards vest over a two-year period from the grant date. In connection with obtaining certain international spectrum authority during 2018, Mr. Ponder was also granted restricted stock awards of 80,000 shares to recognize his performance.</w:t>
      </w:r>
    </w:p>
    <w:p>
      <w:pPr>
        <w:spacing w:after="0" w:line="1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Upon his promotion to Chief Executive Officer, Mr. Kagan was granted restricted stock awards of 3,000,000 shares; of this amount 1,250,000 have a graded vesting schedule whereby ten percent of the awards vest on the first anniversary of the grant date, fifteen percent vest on the second anniversary of the grant date, twenty-five percent vest on the third anniversary of the grant date and the remaining fifty percent vest on the fourth anniversary of the grant date; these equity awards are designed to recognize performance and encourage retention. The remaining 1,750,000 shares have vesting conditions which are contingent upon his achievement of certain performance milestones. Finally, in connection with his appointment to Chief Executive Officer, the Company modified two grants of options to purchase shares of common stock originally granted in December 2017. One performance grant of 250,000 options to purchase shares of common stock was modified to 250,000 restricted stock awards with all other vesting terms remaining the same. The second grant of 750,000 options to purchase shares of common stock with a four year service vest was modified to 750,000 restricted stock awards with all other vesting terms remaining the same.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2018 Grants of Plan-Based Awards table for additional information.</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u w:val="single" w:color="auto"/>
          <w:color w:val="auto"/>
        </w:rPr>
        <w:t>Bonus Plan</w:t>
      </w:r>
      <w:r>
        <w:rPr>
          <w:rFonts w:ascii="Arial" w:cs="Arial" w:eastAsia="Arial" w:hAnsi="Arial"/>
          <w:sz w:val="18"/>
          <w:szCs w:val="18"/>
          <w:color w:val="auto"/>
        </w:rPr>
        <w:t>. The Company has an annual bonus plan designed to reward designated key employees' (including the named executive officers) efforts to exceed the Company's financial performance goals for the designated calendar year. The bonus pool available for distribution is determined based on the Company's Adjusted EBITDA performance during that year. The bonus may be paid in cash or the Company's common stock, as determined by the Compensation Committee. The aggregate amount that could be distributed under the pool was $1.25 million if the Company's Adjusted EBITDA for the plan year was $40.0 million. For each 1% of Adjusted EBITDA above or below the plan year Adjusted EBITDA, adjustments are made to either increase or decrease the distribution. The Company's Adjusted EBITDA for plan year 2018 was $40.6 million, which resulted in a total bonus distribution of $1.3 million. Each participant's award is determined at the discretion of the Compensation Committee. The Company issued a combination of cash and shares in March 2019. Ms. Clary and Mr. Ponder received a cash payment of $85,000 and $60,000, respectively. Mr. Kagan received a total payment of $180,00, of which $120,000 was paid in cash and $60,000 was paid in stock using the closing price of our common stock on the date of issuance. A similar plan is in place for 2019.</w:t>
      </w:r>
    </w:p>
    <w:p>
      <w:pPr>
        <w:spacing w:after="0" w:line="19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event the Company's financial statements are restated or otherwise adjusted, resulting in a reduction to Adjusted EBITDA, then participants who have received distributions under the bonus plan in excess of the amounts they would have been entitled to receive, shall be liable to repay such excess to the Company.</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u w:val="single" w:color="auto"/>
          <w:color w:val="auto"/>
        </w:rPr>
        <w:t>All Other Compensation</w:t>
      </w:r>
      <w:r>
        <w:rPr>
          <w:rFonts w:ascii="Arial" w:cs="Arial" w:eastAsia="Arial" w:hAnsi="Arial"/>
          <w:sz w:val="17"/>
          <w:szCs w:val="17"/>
          <w:color w:val="auto"/>
        </w:rPr>
        <w:t>. We contribute $0.50 for each $1.00 contributed to our 401(k) plan by all U.S. employees, up to 6% of the employee’s base salary. We also provide limited perquisites to named executive officers consisting primarily of premiums for term life insurance policies.</w:t>
      </w:r>
    </w:p>
    <w:p>
      <w:pPr>
        <w:sectPr>
          <w:pgSz w:w="11900" w:h="16838" w:orient="portrait"/>
          <w:cols w:equalWidth="0" w:num="1">
            <w:col w:w="11420"/>
          </w:cols>
          <w:pgMar w:left="240" w:top="692" w:right="2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692" w:right="239" w:bottom="1440" w:gutter="0" w:footer="0" w:header="0"/>
          <w:type w:val="continuous"/>
        </w:sectPr>
      </w:pPr>
    </w:p>
    <w:bookmarkStart w:id="24" w:name="page25"/>
    <w:bookmarkEnd w:id="24"/>
    <w:p>
      <w:pPr>
        <w:jc w:val="both"/>
        <w:ind w:firstLine="324"/>
        <w:spacing w:after="0" w:line="286" w:lineRule="auto"/>
        <w:rPr>
          <w:sz w:val="20"/>
          <w:szCs w:val="20"/>
          <w:color w:val="auto"/>
        </w:rPr>
      </w:pPr>
      <w:r>
        <w:rPr>
          <w:rFonts w:ascii="Arial" w:cs="Arial" w:eastAsia="Arial" w:hAnsi="Arial"/>
          <w:sz w:val="17"/>
          <w:szCs w:val="17"/>
          <w:color w:val="auto"/>
        </w:rPr>
        <w:t>We reimburse Thermo for third-party out-of-pocket expenses for transportation, lodging and meals incurred by Thermo employees, including Messrs. Monroe, Lynch, Taylor and Roberts, in connection with their performing services for us. These reimbursements are reviewed and approved for payment by our Chief Financial Officer at least once a year. See further discussion of Thermo related expenses in the Other Information section below.</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u w:val="single" w:color="auto"/>
          <w:color w:val="auto"/>
        </w:rPr>
        <w:t>Deductibility of Compensation</w:t>
      </w:r>
      <w:r>
        <w:rPr>
          <w:rFonts w:ascii="Arial" w:cs="Arial" w:eastAsia="Arial" w:hAnsi="Arial"/>
          <w:sz w:val="16"/>
          <w:szCs w:val="16"/>
          <w:color w:val="auto"/>
        </w:rPr>
        <w:t>. Section 162(m) of the Internal Revenue Code prohibits us from taking an income tax deduction for any compensation in excess of $1 million per year paid to certain covered employees. Prior law defined a covered employee as the chief executive officer and the three most-highly compensated executive officers. The Tax Cuts and Jobs Act (the "Act") revised the definition of a covered employee under Section 162(m) to include both the CEO and CFO along with the three most-highly compensated executive officers for the tax year. The Act repealed the exception for performance-based compensation under Section 162(m) of the Internal Revenue Code, which is not expected to have a material impact on the Company.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2018 Summary Compensation Table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table below summarizes, for 2018, 2017, and 2016 the compensation of our current principal executive officer, principal financial officer and other executive officers required to be included under SEC rules (collectively referred to as the “named executive officers”).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Stock</w:t>
            </w: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Option</w:t>
            </w:r>
          </w:p>
        </w:tc>
        <w:tc>
          <w:tcPr>
            <w:tcW w:w="170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All Other</w:t>
            </w:r>
          </w:p>
        </w:tc>
        <w:tc>
          <w:tcPr>
            <w:tcW w:w="108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Salary</w:t>
            </w: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Bonus</w:t>
            </w: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Awards</w:t>
            </w: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Awards</w:t>
            </w:r>
          </w:p>
        </w:tc>
        <w:tc>
          <w:tcPr>
            <w:tcW w:w="17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Compensation</w:t>
            </w: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34"/>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Name and Principal Position</w:t>
            </w: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w:t>
            </w: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($)(1)</w:t>
            </w: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($)(1)</w:t>
            </w:r>
          </w:p>
        </w:tc>
        <w:tc>
          <w:tcPr>
            <w:tcW w:w="170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($)(2)</w:t>
            </w: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7"/>
        </w:trPr>
        <w:tc>
          <w:tcPr>
            <w:tcW w:w="3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David B. Kagan (3)</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2018</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419,586</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120,000</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930,843</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9,266</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1,479,695</w:t>
            </w: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Chief Executive Officer</w:t>
            </w:r>
          </w:p>
        </w:tc>
        <w:tc>
          <w:tcPr>
            <w:tcW w:w="8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33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2017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91,605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1,045,000</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540,000</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1,891</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1,678,496</w:t>
            </w: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2016</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279,808</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133,600</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192,000</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5,128</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610,536</w:t>
            </w: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Rebecca S. Clary</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255,497</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85,000</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125,400</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7,493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473,390</w:t>
            </w: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i w:val="1"/>
                <w:iCs w:val="1"/>
                <w:color w:val="auto"/>
                <w:w w:val="97"/>
              </w:rPr>
              <w:t>Vice President and Chief Financial Officer</w:t>
            </w: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2017</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241,354</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132,400</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4,561</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378,315</w:t>
            </w:r>
          </w:p>
        </w:tc>
      </w:tr>
      <w:tr>
        <w:trPr>
          <w:trHeight w:val="243"/>
        </w:trPr>
        <w:tc>
          <w:tcPr>
            <w:tcW w:w="33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2016</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228,900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359,300</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4,499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592,699</w:t>
            </w: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 Barbee Ponder IV</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2018</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373,962</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60,000</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151,800</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7,834</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593,596</w:t>
            </w:r>
          </w:p>
        </w:tc>
      </w:tr>
      <w:tr>
        <w:trPr>
          <w:trHeight w:val="216"/>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General Counsel and Vice President of</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Regulatory Affairs</w:t>
            </w:r>
          </w:p>
        </w:tc>
        <w:tc>
          <w:tcPr>
            <w:tcW w:w="8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33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2017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243,495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241,200</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4,760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489,455</w:t>
            </w: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2016</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223,907</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1,457,300</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4,675</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1,685,882</w:t>
            </w: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James Monroe III</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tcPr>
          <w:p>
            <w:pPr>
              <w:ind w:left="40"/>
              <w:spacing w:after="0"/>
              <w:rPr>
                <w:sz w:val="20"/>
                <w:szCs w:val="20"/>
                <w:color w:val="auto"/>
              </w:rPr>
            </w:pPr>
            <w:r>
              <w:rPr>
                <w:rFonts w:ascii="Arial" w:cs="Arial" w:eastAsia="Arial" w:hAnsi="Arial"/>
                <w:sz w:val="18"/>
                <w:szCs w:val="18"/>
                <w:i w:val="1"/>
                <w:iCs w:val="1"/>
                <w:color w:val="auto"/>
              </w:rPr>
              <w:t>Executive Chairman and former Chief</w:t>
            </w: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i w:val="1"/>
                <w:iCs w:val="1"/>
                <w:color w:val="auto"/>
              </w:rPr>
              <w:t>Executive Officer</w:t>
            </w: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2017</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2016</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332"/>
        <w:spacing w:after="0" w:line="259" w:lineRule="auto"/>
        <w:tabs>
          <w:tab w:leader="none" w:pos="5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aggregate grant date fair value computed consistent with FASB ASC Topic 718. For further discussion of our accounting policies for stock-based compensation and assumptions used in calculating the grant date fair value of stock-based compensation awards, see Note 14 to the Consolidated Financial Statements in our 2018 Annual Report on Form 10-K. The actual amount of compensation realized, if any, for option awards may differ from the amounts presented in the table.</w:t>
      </w:r>
    </w:p>
    <w:p>
      <w:pPr>
        <w:spacing w:after="0" w:line="79" w:lineRule="exact"/>
        <w:rPr>
          <w:sz w:val="20"/>
          <w:szCs w:val="20"/>
          <w:color w:val="auto"/>
        </w:rPr>
      </w:pPr>
    </w:p>
    <w:p>
      <w:pPr>
        <w:ind w:right="120" w:firstLine="567"/>
        <w:spacing w:after="0" w:line="264" w:lineRule="auto"/>
        <w:rPr>
          <w:sz w:val="20"/>
          <w:szCs w:val="20"/>
          <w:color w:val="auto"/>
        </w:rPr>
      </w:pPr>
      <w:r>
        <w:rPr>
          <w:rFonts w:ascii="Arial" w:cs="Arial" w:eastAsia="Arial" w:hAnsi="Arial"/>
          <w:sz w:val="18"/>
          <w:szCs w:val="18"/>
          <w:color w:val="auto"/>
        </w:rPr>
        <w:t>During 2018, each of the named executive officers, excluding Mr. Monroe earned a bonus related to 2018 performance of Globalstar. As disclosed in the Compensation, Discussion and Analysis section above, for Mr. Kagan, this bonus was paid in both cash and in the form of Globalstar stock, included in each of the Bonus and Stock Awards columns above.</w:t>
      </w:r>
    </w:p>
    <w:p>
      <w:pPr>
        <w:spacing w:after="0" w:line="73" w:lineRule="exact"/>
        <w:rPr>
          <w:sz w:val="20"/>
          <w:szCs w:val="20"/>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matching contributions to 401(k) Plan and life insurance premiums.</w:t>
      </w:r>
    </w:p>
    <w:p>
      <w:pPr>
        <w:spacing w:after="0" w:line="225" w:lineRule="exact"/>
        <w:rPr>
          <w:rFonts w:ascii="Arial" w:cs="Arial" w:eastAsia="Arial" w:hAnsi="Arial"/>
          <w:sz w:val="18"/>
          <w:szCs w:val="18"/>
          <w:color w:val="auto"/>
        </w:rPr>
      </w:pPr>
    </w:p>
    <w:p>
      <w:pPr>
        <w:jc w:val="both"/>
        <w:ind w:firstLine="332"/>
        <w:spacing w:after="0" w:line="259" w:lineRule="auto"/>
        <w:tabs>
          <w:tab w:leader="none" w:pos="5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Mr. Kagan's promotion to CEO in September 2018, the Company modified the terms of two grants of options to purchase shares of common stock originally granted in December 2017. One performance grant of 250,000 options to purchase shares of common stock was modified to 250,000 restricted stock awards with all other vesting terms remaining the same. The second grant of 750,000 options to purchase shares of common stock with a four year service vest was modified to 750,000</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restricted stock awards with all other vesting terms remaining the same. The incremental compensation cost for this modification was $196,000 and reflected in the Award column above.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 sets forth certain information with respect to each equity award and award opportunity issued to the named executive officers during 2018. See “Compensation, Discussion and Analysis - Elements of Compensation” for an explanation of the terms of these awards. In connection with his service as an executive officer of the Company, Mr. Monroe did not receive equity awards during 2018 and is not reflected in the table below.</w:t>
      </w:r>
    </w:p>
    <w:p>
      <w:pPr>
        <w:spacing w:after="0" w:line="16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2018 Grants of Plan-Based Awards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All Other Option</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Exercise or</w:t>
            </w: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5"/>
              </w:rPr>
              <w:t>All Other Stock</w:t>
            </w: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Awards:</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Base Price</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7"/>
              </w:rPr>
              <w:t>Grant Date</w:t>
            </w:r>
          </w:p>
        </w:tc>
        <w:tc>
          <w:tcPr>
            <w:tcW w:w="6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Awards:</w:t>
            </w: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Number of</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of Option</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w:t>
            </w:r>
          </w:p>
        </w:tc>
        <w:tc>
          <w:tcPr>
            <w:tcW w:w="6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2300" w:type="dxa"/>
            <w:vAlign w:val="bottom"/>
          </w:tcPr>
          <w:p>
            <w:pPr>
              <w:jc w:val="right"/>
              <w:ind w:right="559"/>
              <w:spacing w:after="0"/>
              <w:rPr>
                <w:sz w:val="20"/>
                <w:szCs w:val="20"/>
                <w:color w:val="auto"/>
              </w:rPr>
            </w:pPr>
            <w:r>
              <w:rPr>
                <w:rFonts w:ascii="Arial" w:cs="Arial" w:eastAsia="Arial" w:hAnsi="Arial"/>
                <w:sz w:val="16"/>
                <w:szCs w:val="16"/>
                <w:b w:val="1"/>
                <w:bCs w:val="1"/>
                <w:color w:val="auto"/>
              </w:rPr>
              <w:t>Grant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 of</w:t>
            </w:r>
          </w:p>
        </w:tc>
        <w:tc>
          <w:tcPr>
            <w:tcW w:w="162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Securities</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Awards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of Stock and</w:t>
            </w:r>
          </w:p>
        </w:tc>
        <w:tc>
          <w:tcPr>
            <w:tcW w:w="600" w:type="dxa"/>
            <w:vAlign w:val="bottom"/>
          </w:tcPr>
          <w:p>
            <w:pPr>
              <w:spacing w:after="0"/>
              <w:rPr>
                <w:sz w:val="17"/>
                <w:szCs w:val="17"/>
                <w:color w:val="auto"/>
              </w:rPr>
            </w:pPr>
          </w:p>
        </w:tc>
      </w:tr>
      <w:tr>
        <w:trPr>
          <w:trHeight w:val="210"/>
        </w:trPr>
        <w:tc>
          <w:tcPr>
            <w:tcW w:w="262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2300" w:type="dxa"/>
            <w:vAlign w:val="bottom"/>
          </w:tcPr>
          <w:p>
            <w:pPr>
              <w:jc w:val="right"/>
              <w:ind w:right="619"/>
              <w:spacing w:after="0"/>
              <w:rPr>
                <w:sz w:val="20"/>
                <w:szCs w:val="20"/>
                <w:color w:val="auto"/>
              </w:rPr>
            </w:pPr>
            <w:r>
              <w:rPr>
                <w:rFonts w:ascii="Arial" w:cs="Arial" w:eastAsia="Arial" w:hAnsi="Arial"/>
                <w:sz w:val="16"/>
                <w:szCs w:val="16"/>
                <w:b w:val="1"/>
                <w:bCs w:val="1"/>
                <w:color w:val="auto"/>
              </w:rPr>
              <w:t>Date</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3"/>
              </w:rPr>
              <w:t>Stock Or Units</w:t>
            </w: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Underlying Options</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2"/>
              </w:rPr>
              <w:t>Option Awards ($)</w:t>
            </w:r>
          </w:p>
        </w:tc>
        <w:tc>
          <w:tcPr>
            <w:tcW w:w="600" w:type="dxa"/>
            <w:vAlign w:val="bottom"/>
          </w:tcPr>
          <w:p>
            <w:pPr>
              <w:spacing w:after="0"/>
              <w:rPr>
                <w:sz w:val="18"/>
                <w:szCs w:val="18"/>
                <w:color w:val="auto"/>
              </w:rPr>
            </w:pPr>
          </w:p>
        </w:tc>
      </w:tr>
      <w:tr>
        <w:trPr>
          <w:trHeight w:val="236"/>
        </w:trPr>
        <w:tc>
          <w:tcPr>
            <w:tcW w:w="26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23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David B. Kagan (5)</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9/4/2018</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500,000</w:t>
            </w:r>
          </w:p>
        </w:tc>
        <w:tc>
          <w:tcPr>
            <w:tcW w:w="162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6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w:t>
            </w:r>
          </w:p>
        </w:tc>
      </w:tr>
      <w:tr>
        <w:trPr>
          <w:trHeight w:val="237"/>
        </w:trPr>
        <w:tc>
          <w:tcPr>
            <w:tcW w:w="26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9/4/2018</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750,000</w:t>
            </w:r>
          </w:p>
        </w:tc>
        <w:tc>
          <w:tcPr>
            <w:tcW w:w="1620" w:type="dxa"/>
            <w:vAlign w:val="bottom"/>
          </w:tcPr>
          <w:p>
            <w:pPr>
              <w:ind w:left="1200"/>
              <w:spacing w:after="0"/>
              <w:rPr>
                <w:sz w:val="20"/>
                <w:szCs w:val="20"/>
                <w:color w:val="auto"/>
              </w:rPr>
            </w:pPr>
            <w:r>
              <w:rPr>
                <w:rFonts w:ascii="Arial" w:cs="Arial" w:eastAsia="Arial" w:hAnsi="Arial"/>
                <w:sz w:val="16"/>
                <w:szCs w:val="16"/>
                <w:color w:val="auto"/>
              </w:rPr>
              <w:t>—</w:t>
            </w:r>
          </w:p>
        </w:tc>
        <w:tc>
          <w:tcPr>
            <w:tcW w:w="1320" w:type="dxa"/>
            <w:vAlign w:val="bottom"/>
          </w:tcPr>
          <w:p>
            <w:pPr>
              <w:ind w:left="10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375,000</w:t>
            </w:r>
          </w:p>
        </w:tc>
        <w:tc>
          <w:tcPr>
            <w:tcW w:w="600" w:type="dxa"/>
            <w:vAlign w:val="bottom"/>
          </w:tcPr>
          <w:p>
            <w:pPr>
              <w:jc w:val="right"/>
              <w:ind w:right="279"/>
              <w:spacing w:after="0"/>
              <w:rPr>
                <w:sz w:val="20"/>
                <w:szCs w:val="20"/>
                <w:color w:val="auto"/>
              </w:rPr>
            </w:pPr>
            <w:r>
              <w:rPr>
                <w:rFonts w:ascii="Arial" w:cs="Arial" w:eastAsia="Arial" w:hAnsi="Arial"/>
                <w:sz w:val="16"/>
                <w:szCs w:val="16"/>
                <w:color w:val="auto"/>
              </w:rPr>
              <w:t>(1)</w:t>
            </w:r>
          </w:p>
        </w:tc>
      </w:tr>
      <w:tr>
        <w:trPr>
          <w:trHeight w:val="33"/>
        </w:trPr>
        <w:tc>
          <w:tcPr>
            <w:tcW w:w="2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12/11/2018</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30,000</w:t>
            </w:r>
          </w:p>
        </w:tc>
        <w:tc>
          <w:tcPr>
            <w:tcW w:w="162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9,900</w:t>
            </w:r>
          </w:p>
        </w:tc>
        <w:tc>
          <w:tcPr>
            <w:tcW w:w="6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w:t>
            </w:r>
          </w:p>
        </w:tc>
      </w:tr>
      <w:tr>
        <w:trPr>
          <w:trHeight w:val="237"/>
        </w:trPr>
        <w:tc>
          <w:tcPr>
            <w:tcW w:w="26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12/11/2018</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120,000</w:t>
            </w:r>
          </w:p>
        </w:tc>
        <w:tc>
          <w:tcPr>
            <w:tcW w:w="1620" w:type="dxa"/>
            <w:vAlign w:val="bottom"/>
          </w:tcPr>
          <w:p>
            <w:pPr>
              <w:ind w:left="1200"/>
              <w:spacing w:after="0"/>
              <w:rPr>
                <w:sz w:val="20"/>
                <w:szCs w:val="20"/>
                <w:color w:val="auto"/>
              </w:rPr>
            </w:pPr>
            <w:r>
              <w:rPr>
                <w:rFonts w:ascii="Arial" w:cs="Arial" w:eastAsia="Arial" w:hAnsi="Arial"/>
                <w:sz w:val="16"/>
                <w:szCs w:val="16"/>
                <w:color w:val="auto"/>
              </w:rPr>
              <w:t>—</w:t>
            </w:r>
          </w:p>
        </w:tc>
        <w:tc>
          <w:tcPr>
            <w:tcW w:w="1320" w:type="dxa"/>
            <w:vAlign w:val="bottom"/>
          </w:tcPr>
          <w:p>
            <w:pPr>
              <w:ind w:left="10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39,600</w:t>
            </w:r>
          </w:p>
        </w:tc>
        <w:tc>
          <w:tcPr>
            <w:tcW w:w="600" w:type="dxa"/>
            <w:vAlign w:val="bottom"/>
          </w:tcPr>
          <w:p>
            <w:pPr>
              <w:jc w:val="right"/>
              <w:ind w:right="279"/>
              <w:spacing w:after="0"/>
              <w:rPr>
                <w:sz w:val="20"/>
                <w:szCs w:val="20"/>
                <w:color w:val="auto"/>
              </w:rPr>
            </w:pPr>
            <w:r>
              <w:rPr>
                <w:rFonts w:ascii="Arial" w:cs="Arial" w:eastAsia="Arial" w:hAnsi="Arial"/>
                <w:sz w:val="16"/>
                <w:szCs w:val="16"/>
                <w:color w:val="auto"/>
              </w:rPr>
              <w:t>(3)</w:t>
            </w:r>
          </w:p>
        </w:tc>
      </w:tr>
      <w:tr>
        <w:trPr>
          <w:trHeight w:val="33"/>
        </w:trPr>
        <w:tc>
          <w:tcPr>
            <w:tcW w:w="2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97"/>
        </w:trPr>
        <w:tc>
          <w:tcPr>
            <w:tcW w:w="26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24"/>
        </w:trPr>
        <w:tc>
          <w:tcPr>
            <w:tcW w:w="2620" w:type="dxa"/>
            <w:vAlign w:val="bottom"/>
          </w:tcPr>
          <w:p>
            <w:pPr>
              <w:ind w:left="40"/>
              <w:spacing w:after="0"/>
              <w:rPr>
                <w:sz w:val="20"/>
                <w:szCs w:val="20"/>
                <w:color w:val="auto"/>
              </w:rPr>
            </w:pPr>
            <w:r>
              <w:rPr>
                <w:rFonts w:ascii="Arial" w:cs="Arial" w:eastAsia="Arial" w:hAnsi="Arial"/>
                <w:sz w:val="16"/>
                <w:szCs w:val="16"/>
                <w:color w:val="auto"/>
              </w:rPr>
              <w:t>Rebecca S. Clary</w:t>
            </w:r>
          </w:p>
        </w:tc>
        <w:tc>
          <w:tcPr>
            <w:tcW w:w="2300" w:type="dxa"/>
            <w:vAlign w:val="bottom"/>
          </w:tcPr>
          <w:p>
            <w:pPr>
              <w:jc w:val="right"/>
              <w:spacing w:after="0"/>
              <w:rPr>
                <w:sz w:val="20"/>
                <w:szCs w:val="20"/>
                <w:color w:val="auto"/>
              </w:rPr>
            </w:pPr>
            <w:r>
              <w:rPr>
                <w:rFonts w:ascii="Arial" w:cs="Arial" w:eastAsia="Arial" w:hAnsi="Arial"/>
                <w:sz w:val="16"/>
                <w:szCs w:val="16"/>
                <w:color w:val="auto"/>
              </w:rPr>
              <w:t>12/11/2018</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260,000</w:t>
            </w:r>
          </w:p>
        </w:tc>
        <w:tc>
          <w:tcPr>
            <w:tcW w:w="1620" w:type="dxa"/>
            <w:vAlign w:val="bottom"/>
          </w:tcPr>
          <w:p>
            <w:pPr>
              <w:ind w:left="1200"/>
              <w:spacing w:after="0"/>
              <w:rPr>
                <w:sz w:val="20"/>
                <w:szCs w:val="20"/>
                <w:color w:val="auto"/>
              </w:rPr>
            </w:pPr>
            <w:r>
              <w:rPr>
                <w:rFonts w:ascii="Arial" w:cs="Arial" w:eastAsia="Arial" w:hAnsi="Arial"/>
                <w:sz w:val="16"/>
                <w:szCs w:val="16"/>
                <w:color w:val="auto"/>
              </w:rPr>
              <w:t>—</w:t>
            </w:r>
          </w:p>
        </w:tc>
        <w:tc>
          <w:tcPr>
            <w:tcW w:w="1320" w:type="dxa"/>
            <w:vAlign w:val="bottom"/>
          </w:tcPr>
          <w:p>
            <w:pPr>
              <w:ind w:left="10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85,800</w:t>
            </w:r>
          </w:p>
        </w:tc>
        <w:tc>
          <w:tcPr>
            <w:tcW w:w="600" w:type="dxa"/>
            <w:vAlign w:val="bottom"/>
          </w:tcPr>
          <w:p>
            <w:pPr>
              <w:jc w:val="right"/>
              <w:ind w:right="279"/>
              <w:spacing w:after="0"/>
              <w:rPr>
                <w:sz w:val="20"/>
                <w:szCs w:val="20"/>
                <w:color w:val="auto"/>
              </w:rPr>
            </w:pPr>
            <w:r>
              <w:rPr>
                <w:rFonts w:ascii="Arial" w:cs="Arial" w:eastAsia="Arial" w:hAnsi="Arial"/>
                <w:sz w:val="16"/>
                <w:szCs w:val="16"/>
                <w:color w:val="auto"/>
              </w:rPr>
              <w:t>(2)</w:t>
            </w:r>
          </w:p>
        </w:tc>
      </w:tr>
      <w:tr>
        <w:trPr>
          <w:trHeight w:val="33"/>
        </w:trPr>
        <w:tc>
          <w:tcPr>
            <w:tcW w:w="2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12/11/2018</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120,000</w:t>
            </w:r>
          </w:p>
        </w:tc>
        <w:tc>
          <w:tcPr>
            <w:tcW w:w="162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39,600</w:t>
            </w:r>
          </w:p>
        </w:tc>
        <w:tc>
          <w:tcPr>
            <w:tcW w:w="6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w:t>
            </w:r>
          </w:p>
        </w:tc>
      </w:tr>
      <w:tr>
        <w:trPr>
          <w:trHeight w:val="297"/>
        </w:trPr>
        <w:tc>
          <w:tcPr>
            <w:tcW w:w="2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 Barbee Ponder IV</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12/11/2018</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80,000</w:t>
            </w:r>
          </w:p>
        </w:tc>
        <w:tc>
          <w:tcPr>
            <w:tcW w:w="162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26,400</w:t>
            </w:r>
          </w:p>
        </w:tc>
        <w:tc>
          <w:tcPr>
            <w:tcW w:w="6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w:t>
            </w:r>
          </w:p>
        </w:tc>
      </w:tr>
      <w:tr>
        <w:trPr>
          <w:trHeight w:val="237"/>
        </w:trPr>
        <w:tc>
          <w:tcPr>
            <w:tcW w:w="26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12/11/2018</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260,000</w:t>
            </w:r>
          </w:p>
        </w:tc>
        <w:tc>
          <w:tcPr>
            <w:tcW w:w="1620" w:type="dxa"/>
            <w:vAlign w:val="bottom"/>
          </w:tcPr>
          <w:p>
            <w:pPr>
              <w:ind w:left="1200"/>
              <w:spacing w:after="0"/>
              <w:rPr>
                <w:sz w:val="20"/>
                <w:szCs w:val="20"/>
                <w:color w:val="auto"/>
              </w:rPr>
            </w:pPr>
            <w:r>
              <w:rPr>
                <w:rFonts w:ascii="Arial" w:cs="Arial" w:eastAsia="Arial" w:hAnsi="Arial"/>
                <w:sz w:val="16"/>
                <w:szCs w:val="16"/>
                <w:color w:val="auto"/>
              </w:rPr>
              <w:t>—</w:t>
            </w:r>
          </w:p>
        </w:tc>
        <w:tc>
          <w:tcPr>
            <w:tcW w:w="1320" w:type="dxa"/>
            <w:vAlign w:val="bottom"/>
          </w:tcPr>
          <w:p>
            <w:pPr>
              <w:ind w:left="10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85,800</w:t>
            </w:r>
          </w:p>
        </w:tc>
        <w:tc>
          <w:tcPr>
            <w:tcW w:w="600" w:type="dxa"/>
            <w:vAlign w:val="bottom"/>
          </w:tcPr>
          <w:p>
            <w:pPr>
              <w:jc w:val="right"/>
              <w:ind w:right="279"/>
              <w:spacing w:after="0"/>
              <w:rPr>
                <w:sz w:val="20"/>
                <w:szCs w:val="20"/>
                <w:color w:val="auto"/>
              </w:rPr>
            </w:pPr>
            <w:r>
              <w:rPr>
                <w:rFonts w:ascii="Arial" w:cs="Arial" w:eastAsia="Arial" w:hAnsi="Arial"/>
                <w:sz w:val="16"/>
                <w:szCs w:val="16"/>
                <w:color w:val="auto"/>
              </w:rPr>
              <w:t>(2)</w:t>
            </w:r>
          </w:p>
        </w:tc>
      </w:tr>
      <w:tr>
        <w:trPr>
          <w:trHeight w:val="33"/>
        </w:trPr>
        <w:tc>
          <w:tcPr>
            <w:tcW w:w="2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262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12/11/2018</w:t>
            </w:r>
          </w:p>
        </w:tc>
        <w:tc>
          <w:tcPr>
            <w:tcW w:w="1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120,000</w:t>
            </w:r>
          </w:p>
        </w:tc>
        <w:tc>
          <w:tcPr>
            <w:tcW w:w="162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39,600</w:t>
            </w:r>
          </w:p>
        </w:tc>
        <w:tc>
          <w:tcPr>
            <w:tcW w:w="6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w:t>
            </w:r>
          </w:p>
        </w:tc>
      </w:tr>
      <w:tr>
        <w:trPr>
          <w:trHeight w:val="33"/>
        </w:trPr>
        <w:tc>
          <w:tcPr>
            <w:tcW w:w="26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32"/>
        <w:spacing w:after="0" w:line="259"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stock award granted pursuant to our 2006 Equity Incentive Plan. The Company's stock price on the date of the grant was $0.50. Pursuant to the terms of the grant, awards have a graded vesting schedule whereby ten percent of the awards vest on the first anniversary of the grant date, fifteen percent vest on the second anniversary of the grant date, twenty-five percent vest on the third anniversary of the grant date and the remaining fifty percent vest on the fourth anniversary of the grant date.</w:t>
      </w:r>
    </w:p>
    <w:p>
      <w:pPr>
        <w:spacing w:after="0" w:line="186" w:lineRule="exact"/>
        <w:rPr>
          <w:rFonts w:ascii="Arial" w:cs="Arial" w:eastAsia="Arial" w:hAnsi="Arial"/>
          <w:sz w:val="18"/>
          <w:szCs w:val="18"/>
          <w:color w:val="auto"/>
        </w:rPr>
      </w:pPr>
    </w:p>
    <w:p>
      <w:pPr>
        <w:ind w:firstLine="332"/>
        <w:spacing w:after="0" w:line="277" w:lineRule="auto"/>
        <w:tabs>
          <w:tab w:leader="none" w:pos="5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stock award granted pursuant to our 2006 Equity Incentive Plan. The Company's stock price on the date of the grant was $0.33. Awards vested one-third immediately and the remaining awards vest over a two-year period from the grant date.</w:t>
      </w:r>
    </w:p>
    <w:p>
      <w:pPr>
        <w:spacing w:after="0" w:line="170" w:lineRule="exact"/>
        <w:rPr>
          <w:rFonts w:ascii="Arial" w:cs="Arial" w:eastAsia="Arial" w:hAnsi="Arial"/>
          <w:sz w:val="18"/>
          <w:szCs w:val="18"/>
          <w:color w:val="auto"/>
        </w:rPr>
      </w:pPr>
    </w:p>
    <w:p>
      <w:pPr>
        <w:ind w:firstLine="332"/>
        <w:spacing w:after="0" w:line="277" w:lineRule="auto"/>
        <w:tabs>
          <w:tab w:leader="none" w:pos="5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stock award granted pursuant to our 2006 Equity Incentive Plan. The Company's stock price on the date of the grant was $0.33. Awards vest over a three-year period from the grant date.</w:t>
      </w:r>
    </w:p>
    <w:p>
      <w:pPr>
        <w:spacing w:after="0" w:line="62" w:lineRule="exact"/>
        <w:rPr>
          <w:rFonts w:ascii="Arial" w:cs="Arial" w:eastAsia="Arial" w:hAnsi="Arial"/>
          <w:sz w:val="18"/>
          <w:szCs w:val="18"/>
          <w:color w:val="auto"/>
        </w:rPr>
      </w:pPr>
    </w:p>
    <w:p>
      <w:pPr>
        <w:ind w:firstLine="332"/>
        <w:spacing w:after="0" w:line="277" w:lineRule="auto"/>
        <w:tabs>
          <w:tab w:leader="none" w:pos="5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stock award granted pursuant to our 2006 Equity Incentive Plan. The Company's stock price on the date of the grant was $0.33. Awards vested immediately on the grant date.</w:t>
      </w:r>
    </w:p>
    <w:p>
      <w:pPr>
        <w:spacing w:after="0" w:line="62" w:lineRule="exact"/>
        <w:rPr>
          <w:rFonts w:ascii="Arial" w:cs="Arial" w:eastAsia="Arial" w:hAnsi="Arial"/>
          <w:sz w:val="18"/>
          <w:szCs w:val="18"/>
          <w:color w:val="auto"/>
        </w:rPr>
      </w:pPr>
    </w:p>
    <w:p>
      <w:pPr>
        <w:jc w:val="both"/>
        <w:ind w:right="20" w:firstLine="332"/>
        <w:spacing w:after="0" w:line="279"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Excluded from the table above are four grants of restricted stock awards totaling 2,000,000 shares, which are contingent upon Mr. Kagan's achievement of performance milestones. The grant date fair value of these awards will be determined on the date it is determined that achievement is probable. Also excluded from the table above are two grants of options to purchase shares of common stock that were granted in December 2017 and modified in September 2018; in total 1,000,000 options to purchase shares of common stock were granted and modified.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7" w:name="page28"/>
    <w:bookmarkEnd w:id="27"/>
    <w:p>
      <w:pPr>
        <w:jc w:val="center"/>
        <w:ind w:left="340"/>
        <w:spacing w:after="0"/>
        <w:rPr>
          <w:sz w:val="20"/>
          <w:szCs w:val="20"/>
          <w:color w:val="auto"/>
        </w:rPr>
      </w:pPr>
      <w:r>
        <w:rPr>
          <w:rFonts w:ascii="Arial" w:cs="Arial" w:eastAsia="Arial" w:hAnsi="Arial"/>
          <w:sz w:val="18"/>
          <w:szCs w:val="18"/>
          <w:b w:val="1"/>
          <w:bCs w:val="1"/>
          <w:color w:val="auto"/>
        </w:rPr>
        <w:t>Outstanding Equity Awards at 2018 Fiscal Year-End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reports, on an award-by-award basis, each outstanding equity award held by the named executive officers on December 31, 2018. We generally do not permit executive officers to transfer awards prior to the vesting date, and no transfers were permitted during 2018. In connection with his service as an executive officer of the Company, Mr. Monroe does not have any outstanding equity awards at 2018 fiscal year-end and is not reflected in the table below.</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6"/>
              </w:rPr>
              <w:t>Option Awards</w:t>
            </w: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Stock Awards (1)</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5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2"/>
              </w:rPr>
              <w:t>Number of Securities</w:t>
            </w:r>
          </w:p>
        </w:tc>
        <w:tc>
          <w:tcPr>
            <w:tcW w:w="9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7"/>
              </w:rPr>
              <w:t>Option</w:t>
            </w: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Number of Shares</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5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4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Option Grant</w:t>
            </w: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5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Exercise</w:t>
            </w:r>
          </w:p>
        </w:tc>
        <w:tc>
          <w:tcPr>
            <w:tcW w:w="11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Option</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Stock Award</w:t>
            </w: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or Units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or Units of</w:t>
            </w:r>
          </w:p>
        </w:tc>
        <w:tc>
          <w:tcPr>
            <w:tcW w:w="0" w:type="dxa"/>
            <w:vAlign w:val="bottom"/>
          </w:tcPr>
          <w:p>
            <w:pPr>
              <w:spacing w:after="0"/>
              <w:rPr>
                <w:sz w:val="1"/>
                <w:szCs w:val="1"/>
                <w:color w:val="auto"/>
              </w:rPr>
            </w:pPr>
          </w:p>
        </w:tc>
      </w:tr>
      <w:tr>
        <w:trPr>
          <w:trHeight w:val="149"/>
        </w:trPr>
        <w:tc>
          <w:tcPr>
            <w:tcW w:w="15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Name</w:t>
            </w:r>
          </w:p>
        </w:tc>
        <w:tc>
          <w:tcPr>
            <w:tcW w:w="1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Options</w:t>
            </w:r>
          </w:p>
        </w:tc>
        <w:tc>
          <w:tcPr>
            <w:tcW w:w="15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Price</w:t>
            </w:r>
          </w:p>
        </w:tc>
        <w:tc>
          <w:tcPr>
            <w:tcW w:w="11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6"/>
              </w:rPr>
              <w:t>of Stock That Have Stock That Have Not</w:t>
            </w:r>
          </w:p>
        </w:tc>
        <w:tc>
          <w:tcPr>
            <w:tcW w:w="0" w:type="dxa"/>
            <w:vAlign w:val="bottom"/>
          </w:tcPr>
          <w:p>
            <w:pPr>
              <w:spacing w:after="0"/>
              <w:rPr>
                <w:sz w:val="1"/>
                <w:szCs w:val="1"/>
                <w:color w:val="auto"/>
              </w:rPr>
            </w:pPr>
          </w:p>
        </w:tc>
      </w:tr>
      <w:tr>
        <w:trPr>
          <w:trHeight w:val="192"/>
        </w:trPr>
        <w:tc>
          <w:tcPr>
            <w:tcW w:w="15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Date</w:t>
            </w:r>
          </w:p>
        </w:tc>
        <w:tc>
          <w:tcPr>
            <w:tcW w:w="12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2"/>
              </w:rPr>
              <w:t>Exercisable</w:t>
            </w:r>
          </w:p>
        </w:tc>
        <w:tc>
          <w:tcPr>
            <w:tcW w:w="15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Unexercisable (2)</w:t>
            </w: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9"/>
              </w:rPr>
              <w:t>Expiration Date</w:t>
            </w: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Grant Date</w:t>
            </w:r>
          </w:p>
        </w:tc>
        <w:tc>
          <w:tcPr>
            <w:tcW w:w="12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Not Vested (2)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David B. Kagan</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1/13/2016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166,667</w:t>
            </w:r>
          </w:p>
        </w:tc>
        <w:tc>
          <w:tcPr>
            <w:tcW w:w="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83,333</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1/13/2026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12/9/2016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10,001</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6,401</w:t>
            </w: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12/6/2017</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675,000</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432,000</w:t>
            </w:r>
          </w:p>
        </w:tc>
        <w:tc>
          <w:tcPr>
            <w:tcW w:w="0" w:type="dxa"/>
            <w:vAlign w:val="bottom"/>
          </w:tcPr>
          <w:p>
            <w:pPr>
              <w:spacing w:after="0"/>
              <w:rPr>
                <w:sz w:val="1"/>
                <w:szCs w:val="1"/>
                <w:color w:val="auto"/>
              </w:rPr>
            </w:pPr>
          </w:p>
        </w:tc>
      </w:tr>
      <w:tr>
        <w:trPr>
          <w:trHeight w:val="276"/>
        </w:trPr>
        <w:tc>
          <w:tcPr>
            <w:tcW w:w="15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9/4/2018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450,000</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288,000</w:t>
            </w: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9/4/2018</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750,000</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480,000</w:t>
            </w:r>
          </w:p>
        </w:tc>
        <w:tc>
          <w:tcPr>
            <w:tcW w:w="0" w:type="dxa"/>
            <w:vAlign w:val="bottom"/>
          </w:tcPr>
          <w:p>
            <w:pPr>
              <w:spacing w:after="0"/>
              <w:rPr>
                <w:sz w:val="1"/>
                <w:szCs w:val="1"/>
                <w:color w:val="auto"/>
              </w:rPr>
            </w:pPr>
          </w:p>
        </w:tc>
      </w:tr>
      <w:tr>
        <w:trPr>
          <w:trHeight w:val="276"/>
        </w:trPr>
        <w:tc>
          <w:tcPr>
            <w:tcW w:w="15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12/11/2018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20,001</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12,801</w:t>
            </w: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12/11/2018</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120,000</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76,800</w:t>
            </w:r>
          </w:p>
        </w:tc>
        <w:tc>
          <w:tcPr>
            <w:tcW w:w="0" w:type="dxa"/>
            <w:vAlign w:val="bottom"/>
          </w:tcPr>
          <w:p>
            <w:pPr>
              <w:spacing w:after="0"/>
              <w:rPr>
                <w:sz w:val="1"/>
                <w:szCs w:val="1"/>
                <w:color w:val="auto"/>
              </w:rPr>
            </w:pPr>
          </w:p>
        </w:tc>
      </w:tr>
      <w:tr>
        <w:trPr>
          <w:trHeight w:val="290"/>
        </w:trPr>
        <w:tc>
          <w:tcPr>
            <w:tcW w:w="15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40"/>
              <w:spacing w:after="0"/>
              <w:rPr>
                <w:sz w:val="20"/>
                <w:szCs w:val="20"/>
                <w:color w:val="auto"/>
              </w:rPr>
            </w:pPr>
            <w:r>
              <w:rPr>
                <w:rFonts w:ascii="Arial" w:cs="Arial" w:eastAsia="Arial" w:hAnsi="Arial"/>
                <w:sz w:val="14"/>
                <w:szCs w:val="14"/>
                <w:color w:val="auto"/>
              </w:rPr>
              <w:t>Rebecca S. Clary</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10/12/2010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8"/>
                <w:szCs w:val="18"/>
                <w:color w:val="auto"/>
              </w:rPr>
            </w:pP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1.66</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10/12/2020</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5/16/2016</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33,334</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21,334</w:t>
            </w:r>
          </w:p>
        </w:tc>
        <w:tc>
          <w:tcPr>
            <w:tcW w:w="0" w:type="dxa"/>
            <w:vAlign w:val="bottom"/>
          </w:tcPr>
          <w:p>
            <w:pPr>
              <w:spacing w:after="0"/>
              <w:rPr>
                <w:sz w:val="1"/>
                <w:szCs w:val="1"/>
                <w:color w:val="auto"/>
              </w:rPr>
            </w:pPr>
          </w:p>
        </w:tc>
      </w:tr>
      <w:tr>
        <w:trPr>
          <w:trHeight w:val="276"/>
        </w:trPr>
        <w:tc>
          <w:tcPr>
            <w:tcW w:w="15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10/3/2011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10/3/2021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12/9/2016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10,001</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6,401</w:t>
            </w: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11/8/2011</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25,000</w:t>
            </w:r>
          </w:p>
        </w:tc>
        <w:tc>
          <w:tcPr>
            <w:tcW w:w="40" w:type="dxa"/>
            <w:vAlign w:val="bottom"/>
          </w:tcPr>
          <w:p>
            <w:pPr>
              <w:spacing w:after="0"/>
              <w:rPr>
                <w:sz w:val="22"/>
                <w:szCs w:val="22"/>
                <w:color w:val="auto"/>
              </w:rPr>
            </w:pP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0.61</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11/8/2021</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12/11/2017</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26,667</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17,067</w:t>
            </w:r>
          </w:p>
        </w:tc>
        <w:tc>
          <w:tcPr>
            <w:tcW w:w="0" w:type="dxa"/>
            <w:vAlign w:val="bottom"/>
          </w:tcPr>
          <w:p>
            <w:pPr>
              <w:spacing w:after="0"/>
              <w:rPr>
                <w:sz w:val="1"/>
                <w:szCs w:val="1"/>
                <w:color w:val="auto"/>
              </w:rPr>
            </w:pPr>
          </w:p>
        </w:tc>
      </w:tr>
      <w:tr>
        <w:trPr>
          <w:trHeight w:val="276"/>
        </w:trPr>
        <w:tc>
          <w:tcPr>
            <w:tcW w:w="15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12/13/2013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12/13/2023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12/11/2018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173,334</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110,934</w:t>
            </w: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8/27/2014</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40,000</w:t>
            </w:r>
          </w:p>
        </w:tc>
        <w:tc>
          <w:tcPr>
            <w:tcW w:w="40" w:type="dxa"/>
            <w:vAlign w:val="bottom"/>
          </w:tcPr>
          <w:p>
            <w:pPr>
              <w:spacing w:after="0"/>
              <w:rPr>
                <w:sz w:val="22"/>
                <w:szCs w:val="22"/>
                <w:color w:val="auto"/>
              </w:rPr>
            </w:pP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3.99</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8/27/2024</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12/11/2018</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120,000</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76,800</w:t>
            </w:r>
          </w:p>
        </w:tc>
        <w:tc>
          <w:tcPr>
            <w:tcW w:w="0" w:type="dxa"/>
            <w:vAlign w:val="bottom"/>
          </w:tcPr>
          <w:p>
            <w:pPr>
              <w:spacing w:after="0"/>
              <w:rPr>
                <w:sz w:val="1"/>
                <w:szCs w:val="1"/>
                <w:color w:val="auto"/>
              </w:rPr>
            </w:pPr>
          </w:p>
        </w:tc>
      </w:tr>
      <w:tr>
        <w:trPr>
          <w:trHeight w:val="276"/>
        </w:trPr>
        <w:tc>
          <w:tcPr>
            <w:tcW w:w="15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12/12/2014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12/12/2024</w:t>
            </w:r>
          </w:p>
        </w:tc>
        <w:tc>
          <w:tcPr>
            <w:tcW w:w="6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 Barbee Ponder IV</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7/13/2010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7/13/2020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5/16/2016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83,334</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53,334</w:t>
            </w: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12/13/2013</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40,000</w:t>
            </w:r>
          </w:p>
        </w:tc>
        <w:tc>
          <w:tcPr>
            <w:tcW w:w="40" w:type="dxa"/>
            <w:vAlign w:val="bottom"/>
          </w:tcPr>
          <w:p>
            <w:pPr>
              <w:spacing w:after="0"/>
              <w:rPr>
                <w:sz w:val="22"/>
                <w:szCs w:val="22"/>
                <w:color w:val="auto"/>
              </w:rPr>
            </w:pP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1.97</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12/13/2023</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12/9/2016</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10,001</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6,401</w:t>
            </w:r>
          </w:p>
        </w:tc>
        <w:tc>
          <w:tcPr>
            <w:tcW w:w="0" w:type="dxa"/>
            <w:vAlign w:val="bottom"/>
          </w:tcPr>
          <w:p>
            <w:pPr>
              <w:spacing w:after="0"/>
              <w:rPr>
                <w:sz w:val="1"/>
                <w:szCs w:val="1"/>
                <w:color w:val="auto"/>
              </w:rPr>
            </w:pPr>
          </w:p>
        </w:tc>
      </w:tr>
      <w:tr>
        <w:trPr>
          <w:trHeight w:val="276"/>
        </w:trPr>
        <w:tc>
          <w:tcPr>
            <w:tcW w:w="15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12/12/2014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12/12/2024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12/9/2016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26,667</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17,067</w:t>
            </w: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12/11/2018</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173,334</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110,934</w:t>
            </w:r>
          </w:p>
        </w:tc>
        <w:tc>
          <w:tcPr>
            <w:tcW w:w="0" w:type="dxa"/>
            <w:vAlign w:val="bottom"/>
          </w:tcPr>
          <w:p>
            <w:pPr>
              <w:spacing w:after="0"/>
              <w:rPr>
                <w:sz w:val="1"/>
                <w:szCs w:val="1"/>
                <w:color w:val="auto"/>
              </w:rPr>
            </w:pPr>
          </w:p>
        </w:tc>
      </w:tr>
      <w:tr>
        <w:trPr>
          <w:trHeight w:val="276"/>
        </w:trPr>
        <w:tc>
          <w:tcPr>
            <w:tcW w:w="15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12/11/2018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120,000</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76,800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332"/>
        <w:spacing w:after="0" w:line="264" w:lineRule="auto"/>
        <w:tabs>
          <w:tab w:leader="none" w:pos="587"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value for shares of unvested restricted stock and unearned equity-based incentive plan holdings is equal to the product of the closing market price of the Company’s stock at December 31, 2018 of $0.64 and the number of unvested restricted shares or units of stock or the number of unearned equity-based incentive plan awards, as applicable.</w:t>
      </w:r>
    </w:p>
    <w:p>
      <w:pPr>
        <w:spacing w:after="0" w:line="181" w:lineRule="exact"/>
        <w:rPr>
          <w:rFonts w:ascii="Arial" w:cs="Arial" w:eastAsia="Arial" w:hAnsi="Arial"/>
          <w:sz w:val="18"/>
          <w:szCs w:val="18"/>
          <w:color w:val="auto"/>
        </w:rPr>
      </w:pPr>
    </w:p>
    <w:p>
      <w:pPr>
        <w:ind w:firstLine="332"/>
        <w:spacing w:after="0" w:line="277"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Awards are granted pursuant to our 2006 Equity Incentive Plan and generally vest over a three-year period from the date of grant. Refer to table above "2018 Grants of Plan-Based Awards" for vesting terms of all options and stock awards granted during 2018.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88" w:right="239" w:bottom="1440" w:gutter="0" w:footer="0" w:header="0"/>
        </w:sectPr>
      </w:pPr>
    </w:p>
    <w:bookmarkStart w:id="28" w:name="page29"/>
    <w:bookmarkEnd w:id="28"/>
    <w:p>
      <w:pPr>
        <w:jc w:val="center"/>
        <w:ind w:left="340"/>
        <w:spacing w:after="0"/>
        <w:rPr>
          <w:sz w:val="20"/>
          <w:szCs w:val="20"/>
          <w:color w:val="auto"/>
        </w:rPr>
      </w:pPr>
      <w:r>
        <w:rPr>
          <w:rFonts w:ascii="Arial" w:cs="Arial" w:eastAsia="Arial" w:hAnsi="Arial"/>
          <w:sz w:val="18"/>
          <w:szCs w:val="18"/>
          <w:b w:val="1"/>
          <w:bCs w:val="1"/>
          <w:color w:val="auto"/>
        </w:rPr>
        <w:t>2018 Option Exercises and Stock Vested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regarding options exercised and stock awards that vested during 2018 for the named executive officers.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3280" w:type="dxa"/>
            <w:vAlign w:val="bottom"/>
            <w:gridSpan w:val="2"/>
          </w:tcPr>
          <w:p>
            <w:pPr>
              <w:ind w:left="1340"/>
              <w:spacing w:after="0"/>
              <w:rPr>
                <w:sz w:val="20"/>
                <w:szCs w:val="20"/>
                <w:color w:val="auto"/>
              </w:rPr>
            </w:pPr>
            <w:r>
              <w:rPr>
                <w:rFonts w:ascii="Arial" w:cs="Arial" w:eastAsia="Arial" w:hAnsi="Arial"/>
                <w:sz w:val="16"/>
                <w:szCs w:val="16"/>
                <w:b w:val="1"/>
                <w:bCs w:val="1"/>
                <w:color w:val="auto"/>
              </w:rPr>
              <w:t>Option Awards</w:t>
            </w:r>
          </w:p>
        </w:tc>
        <w:tc>
          <w:tcPr>
            <w:tcW w:w="440" w:type="dxa"/>
            <w:vAlign w:val="bottom"/>
          </w:tcPr>
          <w:p>
            <w:pPr>
              <w:spacing w:after="0"/>
              <w:rPr>
                <w:sz w:val="18"/>
                <w:szCs w:val="18"/>
                <w:color w:val="auto"/>
              </w:rPr>
            </w:pPr>
          </w:p>
        </w:tc>
        <w:tc>
          <w:tcPr>
            <w:tcW w:w="3580" w:type="dxa"/>
            <w:vAlign w:val="bottom"/>
            <w:gridSpan w:val="2"/>
          </w:tcPr>
          <w:p>
            <w:pPr>
              <w:jc w:val="right"/>
              <w:ind w:right="1239"/>
              <w:spacing w:after="0"/>
              <w:rPr>
                <w:sz w:val="20"/>
                <w:szCs w:val="20"/>
                <w:color w:val="auto"/>
              </w:rPr>
            </w:pPr>
            <w:r>
              <w:rPr>
                <w:rFonts w:ascii="Arial" w:cs="Arial" w:eastAsia="Arial" w:hAnsi="Arial"/>
                <w:sz w:val="16"/>
                <w:szCs w:val="16"/>
                <w:b w:val="1"/>
                <w:bCs w:val="1"/>
                <w:color w:val="auto"/>
              </w:rPr>
              <w:t>Stock Awards</w:t>
            </w:r>
          </w:p>
        </w:tc>
        <w:tc>
          <w:tcPr>
            <w:tcW w:w="46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40" w:type="dxa"/>
            <w:vAlign w:val="bottom"/>
          </w:tcPr>
          <w:p>
            <w:pPr>
              <w:jc w:val="center"/>
              <w:ind w:left="119"/>
              <w:spacing w:after="0"/>
              <w:rPr>
                <w:sz w:val="20"/>
                <w:szCs w:val="20"/>
                <w:color w:val="auto"/>
              </w:rPr>
            </w:pPr>
            <w:r>
              <w:rPr>
                <w:rFonts w:ascii="Arial" w:cs="Arial" w:eastAsia="Arial" w:hAnsi="Arial"/>
                <w:sz w:val="16"/>
                <w:szCs w:val="16"/>
                <w:b w:val="1"/>
                <w:bCs w:val="1"/>
                <w:color w:val="auto"/>
                <w:w w:val="93"/>
              </w:rPr>
              <w:t>Value</w:t>
            </w:r>
          </w:p>
        </w:tc>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2"/>
        </w:trPr>
        <w:tc>
          <w:tcPr>
            <w:tcW w:w="3660" w:type="dxa"/>
            <w:vAlign w:val="bottom"/>
          </w:tcPr>
          <w:p>
            <w:pPr>
              <w:spacing w:after="0"/>
              <w:rPr>
                <w:sz w:val="19"/>
                <w:szCs w:val="19"/>
                <w:color w:val="auto"/>
              </w:rPr>
            </w:pPr>
          </w:p>
        </w:tc>
        <w:tc>
          <w:tcPr>
            <w:tcW w:w="2040" w:type="dxa"/>
            <w:vAlign w:val="bottom"/>
          </w:tcPr>
          <w:p>
            <w:pPr>
              <w:jc w:val="right"/>
              <w:ind w:right="399"/>
              <w:spacing w:after="0"/>
              <w:rPr>
                <w:sz w:val="20"/>
                <w:szCs w:val="20"/>
                <w:color w:val="auto"/>
              </w:rPr>
            </w:pPr>
            <w:r>
              <w:rPr>
                <w:rFonts w:ascii="Arial" w:cs="Arial" w:eastAsia="Arial" w:hAnsi="Arial"/>
                <w:sz w:val="16"/>
                <w:szCs w:val="16"/>
                <w:b w:val="1"/>
                <w:bCs w:val="1"/>
                <w:color w:val="auto"/>
              </w:rPr>
              <w:t>Number of Shares</w:t>
            </w:r>
          </w:p>
        </w:tc>
        <w:tc>
          <w:tcPr>
            <w:tcW w:w="1240" w:type="dxa"/>
            <w:vAlign w:val="bottom"/>
          </w:tcPr>
          <w:p>
            <w:pPr>
              <w:jc w:val="center"/>
              <w:ind w:left="119"/>
              <w:spacing w:after="0"/>
              <w:rPr>
                <w:sz w:val="20"/>
                <w:szCs w:val="20"/>
                <w:color w:val="auto"/>
              </w:rPr>
            </w:pPr>
            <w:r>
              <w:rPr>
                <w:rFonts w:ascii="Arial" w:cs="Arial" w:eastAsia="Arial" w:hAnsi="Arial"/>
                <w:sz w:val="16"/>
                <w:szCs w:val="16"/>
                <w:b w:val="1"/>
                <w:bCs w:val="1"/>
                <w:color w:val="auto"/>
                <w:w w:val="89"/>
              </w:rPr>
              <w:t>Realized on</w:t>
            </w:r>
          </w:p>
        </w:tc>
        <w:tc>
          <w:tcPr>
            <w:tcW w:w="440" w:type="dxa"/>
            <w:vAlign w:val="bottom"/>
          </w:tcPr>
          <w:p>
            <w:pPr>
              <w:spacing w:after="0"/>
              <w:rPr>
                <w:sz w:val="19"/>
                <w:szCs w:val="19"/>
                <w:color w:val="auto"/>
              </w:rPr>
            </w:pPr>
          </w:p>
        </w:tc>
        <w:tc>
          <w:tcPr>
            <w:tcW w:w="1880" w:type="dxa"/>
            <w:vAlign w:val="bottom"/>
          </w:tcPr>
          <w:p>
            <w:pPr>
              <w:jc w:val="right"/>
              <w:ind w:right="299"/>
              <w:spacing w:after="0"/>
              <w:rPr>
                <w:sz w:val="20"/>
                <w:szCs w:val="20"/>
                <w:color w:val="auto"/>
              </w:rPr>
            </w:pPr>
            <w:r>
              <w:rPr>
                <w:rFonts w:ascii="Arial" w:cs="Arial" w:eastAsia="Arial" w:hAnsi="Arial"/>
                <w:sz w:val="16"/>
                <w:szCs w:val="16"/>
                <w:b w:val="1"/>
                <w:bCs w:val="1"/>
                <w:color w:val="auto"/>
              </w:rPr>
              <w:t>Number of Shares</w:t>
            </w:r>
          </w:p>
        </w:tc>
        <w:tc>
          <w:tcPr>
            <w:tcW w:w="1700" w:type="dxa"/>
            <w:vAlign w:val="bottom"/>
          </w:tcPr>
          <w:p>
            <w:pPr>
              <w:jc w:val="right"/>
              <w:ind w:right="199"/>
              <w:spacing w:after="0"/>
              <w:rPr>
                <w:sz w:val="20"/>
                <w:szCs w:val="20"/>
                <w:color w:val="auto"/>
              </w:rPr>
            </w:pPr>
            <w:r>
              <w:rPr>
                <w:rFonts w:ascii="Arial" w:cs="Arial" w:eastAsia="Arial" w:hAnsi="Arial"/>
                <w:sz w:val="16"/>
                <w:szCs w:val="16"/>
                <w:b w:val="1"/>
                <w:bCs w:val="1"/>
                <w:color w:val="auto"/>
              </w:rPr>
              <w:t>Value Realized on</w:t>
            </w:r>
          </w:p>
        </w:tc>
        <w:tc>
          <w:tcPr>
            <w:tcW w:w="460" w:type="dxa"/>
            <w:vAlign w:val="bottom"/>
          </w:tcPr>
          <w:p>
            <w:pPr>
              <w:spacing w:after="0"/>
              <w:rPr>
                <w:sz w:val="19"/>
                <w:szCs w:val="19"/>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2040" w:type="dxa"/>
            <w:vAlign w:val="bottom"/>
          </w:tcPr>
          <w:p>
            <w:pPr>
              <w:jc w:val="right"/>
              <w:ind w:right="299"/>
              <w:spacing w:after="0"/>
              <w:rPr>
                <w:sz w:val="20"/>
                <w:szCs w:val="20"/>
                <w:color w:val="auto"/>
              </w:rPr>
            </w:pPr>
            <w:r>
              <w:rPr>
                <w:rFonts w:ascii="Arial" w:cs="Arial" w:eastAsia="Arial" w:hAnsi="Arial"/>
                <w:sz w:val="16"/>
                <w:szCs w:val="16"/>
                <w:b w:val="1"/>
                <w:bCs w:val="1"/>
                <w:color w:val="auto"/>
              </w:rPr>
              <w:t>Acquired on Exercise</w:t>
            </w:r>
          </w:p>
        </w:tc>
        <w:tc>
          <w:tcPr>
            <w:tcW w:w="1240" w:type="dxa"/>
            <w:vAlign w:val="bottom"/>
          </w:tcPr>
          <w:p>
            <w:pPr>
              <w:jc w:val="center"/>
              <w:ind w:left="119"/>
              <w:spacing w:after="0"/>
              <w:rPr>
                <w:sz w:val="20"/>
                <w:szCs w:val="20"/>
                <w:color w:val="auto"/>
              </w:rPr>
            </w:pPr>
            <w:r>
              <w:rPr>
                <w:rFonts w:ascii="Arial" w:cs="Arial" w:eastAsia="Arial" w:hAnsi="Arial"/>
                <w:sz w:val="16"/>
                <w:szCs w:val="16"/>
                <w:b w:val="1"/>
                <w:bCs w:val="1"/>
                <w:color w:val="auto"/>
                <w:w w:val="89"/>
              </w:rPr>
              <w:t>Exercise ($)</w:t>
            </w:r>
          </w:p>
        </w:tc>
        <w:tc>
          <w:tcPr>
            <w:tcW w:w="440" w:type="dxa"/>
            <w:vAlign w:val="bottom"/>
          </w:tcPr>
          <w:p>
            <w:pPr>
              <w:spacing w:after="0"/>
              <w:rPr>
                <w:sz w:val="19"/>
                <w:szCs w:val="19"/>
                <w:color w:val="auto"/>
              </w:rPr>
            </w:pPr>
          </w:p>
        </w:tc>
        <w:tc>
          <w:tcPr>
            <w:tcW w:w="1880" w:type="dxa"/>
            <w:vAlign w:val="bottom"/>
          </w:tcPr>
          <w:p>
            <w:pPr>
              <w:jc w:val="right"/>
              <w:ind w:right="219"/>
              <w:spacing w:after="0"/>
              <w:rPr>
                <w:sz w:val="20"/>
                <w:szCs w:val="20"/>
                <w:color w:val="auto"/>
              </w:rPr>
            </w:pPr>
            <w:r>
              <w:rPr>
                <w:rFonts w:ascii="Arial" w:cs="Arial" w:eastAsia="Arial" w:hAnsi="Arial"/>
                <w:sz w:val="16"/>
                <w:szCs w:val="16"/>
                <w:b w:val="1"/>
                <w:bCs w:val="1"/>
                <w:color w:val="auto"/>
              </w:rPr>
              <w:t>Acquired on Vesting</w:t>
            </w:r>
          </w:p>
        </w:tc>
        <w:tc>
          <w:tcPr>
            <w:tcW w:w="1700" w:type="dxa"/>
            <w:vAlign w:val="bottom"/>
          </w:tcPr>
          <w:p>
            <w:pPr>
              <w:jc w:val="right"/>
              <w:ind w:right="439"/>
              <w:spacing w:after="0"/>
              <w:rPr>
                <w:sz w:val="20"/>
                <w:szCs w:val="20"/>
                <w:color w:val="auto"/>
              </w:rPr>
            </w:pPr>
            <w:r>
              <w:rPr>
                <w:rFonts w:ascii="Arial" w:cs="Arial" w:eastAsia="Arial" w:hAnsi="Arial"/>
                <w:sz w:val="16"/>
                <w:szCs w:val="16"/>
                <w:b w:val="1"/>
                <w:bCs w:val="1"/>
                <w:color w:val="auto"/>
              </w:rPr>
              <w:t>Vesting ($)</w:t>
            </w:r>
          </w:p>
        </w:tc>
        <w:tc>
          <w:tcPr>
            <w:tcW w:w="460" w:type="dxa"/>
            <w:vAlign w:val="bottom"/>
          </w:tcPr>
          <w:p>
            <w:pPr>
              <w:spacing w:after="0"/>
              <w:rPr>
                <w:sz w:val="19"/>
                <w:szCs w:val="19"/>
                <w:color w:val="auto"/>
              </w:rPr>
            </w:pPr>
          </w:p>
        </w:tc>
      </w:tr>
      <w:tr>
        <w:trPr>
          <w:trHeight w:val="33"/>
        </w:trPr>
        <w:tc>
          <w:tcPr>
            <w:tcW w:w="3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David B. Kagan</w:t>
            </w: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26,455</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w:t>
            </w:r>
          </w:p>
        </w:tc>
      </w:tr>
      <w:tr>
        <w:trPr>
          <w:trHeight w:val="237"/>
        </w:trPr>
        <w:tc>
          <w:tcPr>
            <w:tcW w:w="3660" w:type="dxa"/>
            <w:vAlign w:val="bottom"/>
          </w:tcPr>
          <w:p>
            <w:pPr>
              <w:spacing w:after="0"/>
              <w:rPr>
                <w:sz w:val="20"/>
                <w:szCs w:val="20"/>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75,000</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27,465</w:t>
            </w:r>
          </w:p>
        </w:tc>
        <w:tc>
          <w:tcPr>
            <w:tcW w:w="46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50,000</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18,310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w:t>
            </w:r>
          </w:p>
        </w:tc>
      </w:tr>
      <w:tr>
        <w:trPr>
          <w:trHeight w:val="237"/>
        </w:trPr>
        <w:tc>
          <w:tcPr>
            <w:tcW w:w="3660" w:type="dxa"/>
            <w:vAlign w:val="bottom"/>
          </w:tcPr>
          <w:p>
            <w:pPr>
              <w:spacing w:after="0"/>
              <w:rPr>
                <w:sz w:val="20"/>
                <w:szCs w:val="20"/>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10,000</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3,580</w:t>
            </w:r>
          </w:p>
        </w:tc>
        <w:tc>
          <w:tcPr>
            <w:tcW w:w="46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10,000</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w:t>
            </w:r>
          </w:p>
        </w:tc>
      </w:tr>
      <w:tr>
        <w:trPr>
          <w:trHeight w:val="237"/>
        </w:trPr>
        <w:tc>
          <w:tcPr>
            <w:tcW w:w="3660" w:type="dxa"/>
            <w:vAlign w:val="bottom"/>
          </w:tcPr>
          <w:p>
            <w:pPr>
              <w:spacing w:after="0"/>
              <w:rPr>
                <w:sz w:val="20"/>
                <w:szCs w:val="20"/>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9,999</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3,290</w:t>
            </w:r>
          </w:p>
        </w:tc>
        <w:tc>
          <w:tcPr>
            <w:tcW w:w="460" w:type="dxa"/>
            <w:vAlign w:val="bottom"/>
          </w:tcPr>
          <w:p>
            <w:pPr>
              <w:jc w:val="center"/>
              <w:spacing w:after="0"/>
              <w:rPr>
                <w:sz w:val="20"/>
                <w:szCs w:val="20"/>
                <w:color w:val="auto"/>
              </w:rPr>
            </w:pPr>
            <w:r>
              <w:rPr>
                <w:rFonts w:ascii="Arial" w:cs="Arial" w:eastAsia="Arial" w:hAnsi="Arial"/>
                <w:sz w:val="16"/>
                <w:szCs w:val="16"/>
                <w:color w:val="auto"/>
              </w:rPr>
              <w:t>(6)</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97"/>
        </w:trPr>
        <w:tc>
          <w:tcPr>
            <w:tcW w:w="366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rPr>
              <w:t>Rebecca S. Clary</w:t>
            </w: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84,656</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80,000</w:t>
            </w:r>
          </w:p>
        </w:tc>
        <w:tc>
          <w:tcPr>
            <w:tcW w:w="460" w:type="dxa"/>
            <w:vAlign w:val="bottom"/>
          </w:tcPr>
          <w:p>
            <w:pPr>
              <w:jc w:val="center"/>
              <w:spacing w:after="0"/>
              <w:rPr>
                <w:sz w:val="20"/>
                <w:szCs w:val="20"/>
                <w:color w:val="auto"/>
              </w:rPr>
            </w:pPr>
            <w:r>
              <w:rPr>
                <w:rFonts w:ascii="Arial" w:cs="Arial" w:eastAsia="Arial" w:hAnsi="Arial"/>
                <w:sz w:val="16"/>
                <w:szCs w:val="16"/>
                <w:color w:val="auto"/>
              </w:rPr>
              <w:t>(1)</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33,333</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22,436</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(7)</w:t>
            </w:r>
          </w:p>
        </w:tc>
      </w:tr>
      <w:tr>
        <w:trPr>
          <w:trHeight w:val="237"/>
        </w:trPr>
        <w:tc>
          <w:tcPr>
            <w:tcW w:w="3660" w:type="dxa"/>
            <w:vAlign w:val="bottom"/>
          </w:tcPr>
          <w:p>
            <w:pPr>
              <w:spacing w:after="0"/>
              <w:rPr>
                <w:sz w:val="20"/>
                <w:szCs w:val="20"/>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10,000</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3,580</w:t>
            </w:r>
          </w:p>
        </w:tc>
        <w:tc>
          <w:tcPr>
            <w:tcW w:w="46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10,001</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(8)</w:t>
            </w:r>
          </w:p>
        </w:tc>
      </w:tr>
      <w:tr>
        <w:trPr>
          <w:trHeight w:val="237"/>
        </w:trPr>
        <w:tc>
          <w:tcPr>
            <w:tcW w:w="3660" w:type="dxa"/>
            <w:vAlign w:val="bottom"/>
          </w:tcPr>
          <w:p>
            <w:pPr>
              <w:spacing w:after="0"/>
              <w:rPr>
                <w:sz w:val="20"/>
                <w:szCs w:val="20"/>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13,333</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4,387</w:t>
            </w:r>
          </w:p>
        </w:tc>
        <w:tc>
          <w:tcPr>
            <w:tcW w:w="460" w:type="dxa"/>
            <w:vAlign w:val="bottom"/>
          </w:tcPr>
          <w:p>
            <w:pPr>
              <w:jc w:val="center"/>
              <w:spacing w:after="0"/>
              <w:rPr>
                <w:sz w:val="20"/>
                <w:szCs w:val="20"/>
                <w:color w:val="auto"/>
              </w:rPr>
            </w:pPr>
            <w:r>
              <w:rPr>
                <w:rFonts w:ascii="Arial" w:cs="Arial" w:eastAsia="Arial" w:hAnsi="Arial"/>
                <w:sz w:val="16"/>
                <w:szCs w:val="16"/>
                <w:color w:val="auto"/>
              </w:rPr>
              <w:t>(9)</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86,666</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28,513</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w:t>
            </w:r>
          </w:p>
        </w:tc>
      </w:tr>
      <w:tr>
        <w:trPr>
          <w:trHeight w:val="284"/>
        </w:trPr>
        <w:tc>
          <w:tcPr>
            <w:tcW w:w="3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 Barbee Ponder IV</w:t>
            </w: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63,492</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w:t>
            </w:r>
          </w:p>
        </w:tc>
      </w:tr>
      <w:tr>
        <w:trPr>
          <w:trHeight w:val="237"/>
        </w:trPr>
        <w:tc>
          <w:tcPr>
            <w:tcW w:w="3660" w:type="dxa"/>
            <w:vAlign w:val="bottom"/>
          </w:tcPr>
          <w:p>
            <w:pPr>
              <w:spacing w:after="0"/>
              <w:rPr>
                <w:sz w:val="20"/>
                <w:szCs w:val="20"/>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83,333</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56,091</w:t>
            </w:r>
          </w:p>
        </w:tc>
        <w:tc>
          <w:tcPr>
            <w:tcW w:w="460" w:type="dxa"/>
            <w:vAlign w:val="bottom"/>
          </w:tcPr>
          <w:p>
            <w:pPr>
              <w:jc w:val="center"/>
              <w:spacing w:after="0"/>
              <w:rPr>
                <w:sz w:val="20"/>
                <w:szCs w:val="20"/>
                <w:color w:val="auto"/>
              </w:rPr>
            </w:pPr>
            <w:r>
              <w:rPr>
                <w:rFonts w:ascii="Arial" w:cs="Arial" w:eastAsia="Arial" w:hAnsi="Arial"/>
                <w:sz w:val="16"/>
                <w:szCs w:val="16"/>
                <w:color w:val="auto"/>
              </w:rPr>
              <w:t>(7)</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10,000</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(4)</w:t>
            </w:r>
          </w:p>
        </w:tc>
      </w:tr>
      <w:tr>
        <w:trPr>
          <w:trHeight w:val="237"/>
        </w:trPr>
        <w:tc>
          <w:tcPr>
            <w:tcW w:w="3660" w:type="dxa"/>
            <w:vAlign w:val="bottom"/>
          </w:tcPr>
          <w:p>
            <w:pPr>
              <w:spacing w:after="0"/>
              <w:rPr>
                <w:sz w:val="20"/>
                <w:szCs w:val="20"/>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10,001</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3,290</w:t>
            </w:r>
          </w:p>
        </w:tc>
        <w:tc>
          <w:tcPr>
            <w:tcW w:w="460" w:type="dxa"/>
            <w:vAlign w:val="bottom"/>
          </w:tcPr>
          <w:p>
            <w:pPr>
              <w:jc w:val="center"/>
              <w:spacing w:after="0"/>
              <w:rPr>
                <w:sz w:val="20"/>
                <w:szCs w:val="20"/>
                <w:color w:val="auto"/>
              </w:rPr>
            </w:pPr>
            <w:r>
              <w:rPr>
                <w:rFonts w:ascii="Arial" w:cs="Arial" w:eastAsia="Arial" w:hAnsi="Arial"/>
                <w:sz w:val="16"/>
                <w:szCs w:val="16"/>
                <w:color w:val="auto"/>
              </w:rPr>
              <w:t>(8)</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13,333</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4,387</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(9)</w:t>
            </w:r>
          </w:p>
        </w:tc>
      </w:tr>
      <w:tr>
        <w:trPr>
          <w:trHeight w:val="237"/>
        </w:trPr>
        <w:tc>
          <w:tcPr>
            <w:tcW w:w="3660" w:type="dxa"/>
            <w:vAlign w:val="bottom"/>
          </w:tcPr>
          <w:p>
            <w:pPr>
              <w:spacing w:after="0"/>
              <w:rPr>
                <w:sz w:val="20"/>
                <w:szCs w:val="20"/>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80,000</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26,320</w:t>
            </w:r>
          </w:p>
        </w:tc>
        <w:tc>
          <w:tcPr>
            <w:tcW w:w="460" w:type="dxa"/>
            <w:vAlign w:val="bottom"/>
          </w:tcPr>
          <w:p>
            <w:pPr>
              <w:jc w:val="center"/>
              <w:spacing w:after="0"/>
              <w:rPr>
                <w:sz w:val="20"/>
                <w:szCs w:val="20"/>
                <w:color w:val="auto"/>
              </w:rPr>
            </w:pPr>
            <w:r>
              <w:rPr>
                <w:rFonts w:ascii="Arial" w:cs="Arial" w:eastAsia="Arial" w:hAnsi="Arial"/>
                <w:sz w:val="16"/>
                <w:szCs w:val="16"/>
                <w:color w:val="auto"/>
                <w:w w:val="98"/>
              </w:rPr>
              <w:t>(10)</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86,666</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28,513</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w:t>
            </w:r>
          </w:p>
        </w:tc>
      </w:tr>
      <w:tr>
        <w:trPr>
          <w:trHeight w:val="284"/>
        </w:trPr>
        <w:tc>
          <w:tcPr>
            <w:tcW w:w="3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James Monroe III</w:t>
            </w:r>
          </w:p>
        </w:tc>
        <w:tc>
          <w:tcPr>
            <w:tcW w:w="2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200,000</w:t>
            </w:r>
          </w:p>
        </w:tc>
        <w:tc>
          <w:tcPr>
            <w:tcW w:w="1240" w:type="dxa"/>
            <w:vAlign w:val="bottom"/>
            <w:shd w:val="clear" w:color="auto" w:fill="CCEEFF"/>
          </w:tcPr>
          <w:p>
            <w:pPr>
              <w:spacing w:after="0"/>
              <w:rPr>
                <w:sz w:val="19"/>
                <w:szCs w:val="19"/>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(11)</w:t>
            </w:r>
          </w:p>
        </w:tc>
      </w:tr>
      <w:tr>
        <w:trPr>
          <w:trHeight w:val="33"/>
        </w:trPr>
        <w:tc>
          <w:tcPr>
            <w:tcW w:w="36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332"/>
        <w:spacing w:after="0" w:line="277" w:lineRule="auto"/>
        <w:tabs>
          <w:tab w:leader="none" w:pos="5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Full vesting of restricted stock award granted on February 27, 2018. This award represents the bonus earned in 2017 that was paid in the form of Globalstar common stock in 2018. Value realized upon vesting was based on a stock price of $0.95 on February 27, 2018.</w:t>
      </w:r>
    </w:p>
    <w:p>
      <w:pPr>
        <w:spacing w:after="0" w:line="170" w:lineRule="exact"/>
        <w:rPr>
          <w:rFonts w:ascii="Arial" w:cs="Arial" w:eastAsia="Arial" w:hAnsi="Arial"/>
          <w:sz w:val="18"/>
          <w:szCs w:val="18"/>
          <w:color w:val="auto"/>
        </w:rPr>
      </w:pPr>
    </w:p>
    <w:p>
      <w:pPr>
        <w:ind w:firstLine="332"/>
        <w:spacing w:after="0" w:line="277" w:lineRule="auto"/>
        <w:tabs>
          <w:tab w:leader="none" w:pos="5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Partial vesting of restricted stock award granted on December 6, 2017. Value realized upon vesting was based on a stock price of $0.37 on the vesting date of December 6, 2018.</w:t>
      </w:r>
    </w:p>
    <w:p>
      <w:pPr>
        <w:spacing w:after="0" w:line="170" w:lineRule="exact"/>
        <w:rPr>
          <w:rFonts w:ascii="Arial" w:cs="Arial" w:eastAsia="Arial" w:hAnsi="Arial"/>
          <w:sz w:val="18"/>
          <w:szCs w:val="18"/>
          <w:color w:val="auto"/>
        </w:rPr>
      </w:pPr>
    </w:p>
    <w:p>
      <w:pPr>
        <w:ind w:right="20" w:firstLine="332"/>
        <w:spacing w:after="0" w:line="277"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Partial vesting of restricted stock award granted on September 4, 2018. Value realized upon vesting was based on a stock price of $0.37 on the vesting date of December 6, 2018.</w:t>
      </w:r>
    </w:p>
    <w:p>
      <w:pPr>
        <w:spacing w:after="0" w:line="170" w:lineRule="exact"/>
        <w:rPr>
          <w:rFonts w:ascii="Arial" w:cs="Arial" w:eastAsia="Arial" w:hAnsi="Arial"/>
          <w:sz w:val="18"/>
          <w:szCs w:val="18"/>
          <w:color w:val="auto"/>
        </w:rPr>
      </w:pPr>
    </w:p>
    <w:p>
      <w:pPr>
        <w:ind w:right="20" w:firstLine="332"/>
        <w:spacing w:after="0" w:line="277" w:lineRule="auto"/>
        <w:tabs>
          <w:tab w:leader="none" w:pos="5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Partial vesting of restricted stock award granted on December 9, 2016. Value realized upon vesting was based on a stock price of $0.36 on the trading prior to the vesting date of December 9, 2018 as the vesting date was not a trading day.</w:t>
      </w:r>
    </w:p>
    <w:p>
      <w:pPr>
        <w:spacing w:after="0" w:line="170" w:lineRule="exact"/>
        <w:rPr>
          <w:rFonts w:ascii="Arial" w:cs="Arial" w:eastAsia="Arial" w:hAnsi="Arial"/>
          <w:sz w:val="18"/>
          <w:szCs w:val="18"/>
          <w:color w:val="auto"/>
        </w:rPr>
      </w:pPr>
    </w:p>
    <w:p>
      <w:pPr>
        <w:ind w:firstLine="332"/>
        <w:spacing w:after="0" w:line="277" w:lineRule="auto"/>
        <w:tabs>
          <w:tab w:leader="none" w:pos="5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Partial vesting of restricted stock award granted on January 13, 2016. Value realized upon vesting was based on a stock price of $0.33 on December 11, 2018.</w:t>
      </w:r>
    </w:p>
    <w:p>
      <w:pPr>
        <w:spacing w:after="0" w:line="170" w:lineRule="exact"/>
        <w:rPr>
          <w:rFonts w:ascii="Arial" w:cs="Arial" w:eastAsia="Arial" w:hAnsi="Arial"/>
          <w:sz w:val="18"/>
          <w:szCs w:val="18"/>
          <w:color w:val="auto"/>
        </w:rPr>
      </w:pPr>
    </w:p>
    <w:p>
      <w:pPr>
        <w:ind w:firstLine="332"/>
        <w:spacing w:after="0" w:line="277"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Partial vesting of restricted stock award granted on December 11, 2018. Value realized upon vesting was based on a stock price of $0.33 on December 11, 2018.</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Partial vesting of restricted stock award granted on May 16, 2016. Value realized upon vesting was based on a stock price of $0.67 on May 16, 2018.</w:t>
      </w:r>
    </w:p>
    <w:p>
      <w:pPr>
        <w:spacing w:after="0" w:line="248" w:lineRule="exact"/>
        <w:rPr>
          <w:rFonts w:ascii="Arial" w:cs="Arial" w:eastAsia="Arial" w:hAnsi="Arial"/>
          <w:sz w:val="16"/>
          <w:szCs w:val="16"/>
          <w:color w:val="auto"/>
        </w:rPr>
      </w:pPr>
    </w:p>
    <w:p>
      <w:pPr>
        <w:ind w:firstLine="332"/>
        <w:spacing w:after="0" w:line="277"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Partial vesting of restricted stock award granted on December 11, 2015. Value realized upon vesting was based on a stock price of $0.33 on December 11, 2018.</w:t>
      </w:r>
    </w:p>
    <w:p>
      <w:pPr>
        <w:spacing w:after="0" w:line="170" w:lineRule="exact"/>
        <w:rPr>
          <w:rFonts w:ascii="Arial" w:cs="Arial" w:eastAsia="Arial" w:hAnsi="Arial"/>
          <w:sz w:val="18"/>
          <w:szCs w:val="18"/>
          <w:color w:val="auto"/>
        </w:rPr>
      </w:pPr>
    </w:p>
    <w:p>
      <w:pPr>
        <w:ind w:firstLine="332"/>
        <w:spacing w:after="0" w:line="277"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Partial vesting of restricted stock award granted on December 11, 2017. Value realized upon vesting was based on a stock price of $0.33 on December 11, 2018.</w:t>
      </w:r>
    </w:p>
    <w:p>
      <w:pPr>
        <w:sectPr>
          <w:pgSz w:w="11900" w:h="16838" w:orient="portrait"/>
          <w:cols w:equalWidth="0" w:num="1">
            <w:col w:w="11420"/>
          </w:cols>
          <w:pgMar w:left="240" w:top="688"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88" w:right="239" w:bottom="1440" w:gutter="0" w:footer="0" w:header="0"/>
          <w:type w:val="continuous"/>
        </w:sectPr>
      </w:pPr>
    </w:p>
    <w:bookmarkStart w:id="29" w:name="page30"/>
    <w:bookmarkEnd w:id="29"/>
    <w:p>
      <w:pPr>
        <w:ind w:firstLine="332"/>
        <w:spacing w:after="0" w:line="277" w:lineRule="auto"/>
        <w:tabs>
          <w:tab w:leader="none" w:pos="7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Full vesting of restricted stock award granted on December 11, 2018. This award vested upon achievement of certain international spectrum authority. Value realized upon vesting was based on a stock price of $0.33 on the vesting date of December 11, 2018.</w:t>
      </w:r>
    </w:p>
    <w:p>
      <w:pPr>
        <w:spacing w:after="0" w:line="170" w:lineRule="exact"/>
        <w:rPr>
          <w:rFonts w:ascii="Arial" w:cs="Arial" w:eastAsia="Arial" w:hAnsi="Arial"/>
          <w:sz w:val="18"/>
          <w:szCs w:val="18"/>
          <w:color w:val="auto"/>
        </w:rPr>
      </w:pPr>
    </w:p>
    <w:p>
      <w:pPr>
        <w:jc w:val="both"/>
        <w:ind w:firstLine="332"/>
        <w:spacing w:after="0" w:line="264" w:lineRule="auto"/>
        <w:tabs>
          <w:tab w:leader="none" w:pos="6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amounts reflected in the Value Realized Upon Exercise column above as the options with an exercise price of $0.38 per share were exercised on November 12, 2018 with a market price of $0.35 per share. In his capacity as a director of the Company, Mr. Monroe received a grant of restricted stock awards in December 2018; the unvested portion of this grant is excluded from the table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or Change In Control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than agreements with respect to compensation, we have not entered into employment agreements with our current executive officers, including the named executive officers. Voluntary termination of employment or retirement would not result in any payments to the named executive officers beyond the amounts each would be entitled to receive under our retirement plan. We pay life insurance premiums for all U.S.-based employees that will be paid (based on a multiple of salary) to the employee’s beneficiary upon death.</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also have a severance allowance applicable to all U.S.-based employees if an employee is terminated due to a reduction in workforce of ten or more positions and upon the employee’s execution of a release of claims. Under this plan, the named executive officers would receive a lump sum payment equal to six to eight weeks' base salary. Other severance, if any, is determined at the time of dismissal and is subject to negotiation.</w:t>
      </w:r>
    </w:p>
    <w:p>
      <w:pPr>
        <w:spacing w:after="0" w:line="16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Under our Equity Incentive Plan, if a participant dies, becomes disabled or is terminated for cause, unvested awards are forfeited. For vested option awards, the participant or his survivor generally has 12 months to exercise. If a participant is terminated for cause, all unexercised vested options also are forfeited. If a change in control occurs, any unvested options or restricted shares outstanding would vest immediately. A change in control occurs upon: (1) a person or group (other than us, an existing controlling stockholder, or a trustee for an employee benefit plan) acquiring beneficial ownership of 50% or more of the voting power in the election of directors; (2) upon merger or consolidation; (3) a sale of all or substantially all of our assets; or (4) the sale or exchange by the stockholders of more than 50% of our voting stock; provided however, that a change in control is not deemed to have occurred if the majority of the board of directors of the surviving company is comprised of our directors. The Compensation Committee, in its discretion, also may take other actions to provide for the acceleration of the exercisability or vesting of other awards under the Plan prior to, upon or following a change in control.</w:t>
      </w:r>
    </w:p>
    <w:p>
      <w:pPr>
        <w:spacing w:after="0" w:line="16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following table shows the amount of potential payments to the current named executive officers under the listed events, based on the assumption that the triggering event took place on December 31, 2018. In connection with his service as an executive officer of the Company, Mr. Monroe does not have any outstanding equity awards at 2018 fiscal year-end and therefore amounts upon change of control are not reflected in the table below.</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rPr>
              <w:t>Mr. Kagan</w:t>
            </w:r>
          </w:p>
        </w:tc>
        <w:tc>
          <w:tcPr>
            <w:tcW w:w="24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Ms. Clary</w:t>
            </w:r>
          </w:p>
        </w:tc>
        <w:tc>
          <w:tcPr>
            <w:tcW w:w="220" w:type="dxa"/>
            <w:vAlign w:val="bottom"/>
          </w:tcPr>
          <w:p>
            <w:pPr>
              <w:spacing w:after="0"/>
              <w:rPr>
                <w:sz w:val="20"/>
                <w:szCs w:val="20"/>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Mr. Ponder</w:t>
            </w:r>
          </w:p>
        </w:tc>
        <w:tc>
          <w:tcPr>
            <w:tcW w:w="20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Mr. Monroe</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Death</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Insurance proceeds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900,000</w:t>
            </w:r>
          </w:p>
        </w:tc>
        <w:tc>
          <w:tcPr>
            <w:tcW w:w="3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480,000</w:t>
            </w:r>
          </w:p>
        </w:tc>
        <w:tc>
          <w:tcPr>
            <w:tcW w:w="4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515,000</w:t>
            </w:r>
          </w:p>
        </w:tc>
        <w:tc>
          <w:tcPr>
            <w:tcW w:w="4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Termination – Reduction in Workforce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51,923</w:t>
            </w:r>
          </w:p>
        </w:tc>
        <w:tc>
          <w:tcPr>
            <w:tcW w:w="3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36,923</w:t>
            </w:r>
          </w:p>
        </w:tc>
        <w:tc>
          <w:tcPr>
            <w:tcW w:w="4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39,615</w:t>
            </w:r>
          </w:p>
        </w:tc>
        <w:tc>
          <w:tcPr>
            <w:tcW w:w="4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Control</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80"/>
              <w:spacing w:after="0"/>
              <w:rPr>
                <w:sz w:val="20"/>
                <w:szCs w:val="20"/>
                <w:color w:val="auto"/>
              </w:rPr>
            </w:pPr>
            <w:r>
              <w:rPr>
                <w:rFonts w:ascii="Arial" w:cs="Arial" w:eastAsia="Arial" w:hAnsi="Arial"/>
                <w:sz w:val="18"/>
                <w:szCs w:val="18"/>
                <w:color w:val="auto"/>
              </w:rPr>
              <w:t>Immediate Vesting of Unvested Restricted Stock</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1,296,001</w:t>
            </w:r>
          </w:p>
        </w:tc>
        <w:tc>
          <w:tcPr>
            <w:tcW w:w="360" w:type="dxa"/>
            <w:vAlign w:val="bottom"/>
          </w:tcPr>
          <w:p>
            <w:pPr>
              <w:spacing w:after="0"/>
              <w:rPr>
                <w:sz w:val="19"/>
                <w:szCs w:val="19"/>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232,535</w:t>
            </w:r>
          </w:p>
        </w:tc>
        <w:tc>
          <w:tcPr>
            <w:tcW w:w="46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264,535</w:t>
            </w:r>
          </w:p>
        </w:tc>
        <w:tc>
          <w:tcPr>
            <w:tcW w:w="46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240" w:type="dxa"/>
            <w:vAlign w:val="bottom"/>
            <w:vMerge w:val="restart"/>
          </w:tcPr>
          <w:p>
            <w:pPr>
              <w:ind w:left="280"/>
              <w:spacing w:after="0"/>
              <w:rPr>
                <w:sz w:val="20"/>
                <w:szCs w:val="20"/>
                <w:color w:val="auto"/>
              </w:rPr>
            </w:pPr>
            <w:r>
              <w:rPr>
                <w:rFonts w:ascii="Arial" w:cs="Arial" w:eastAsia="Arial" w:hAnsi="Arial"/>
                <w:sz w:val="18"/>
                <w:szCs w:val="18"/>
                <w:color w:val="auto"/>
              </w:rPr>
              <w:t>Awards</w:t>
            </w:r>
          </w:p>
        </w:tc>
        <w:tc>
          <w:tcPr>
            <w:tcW w:w="2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Immediate Vesting of Unvested Stock Options (1), (2)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332"/>
        <w:spacing w:after="0" w:line="277" w:lineRule="auto"/>
        <w:tabs>
          <w:tab w:leader="none" w:pos="597"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Values for each of Ms. Clary and Mr. Ponder are reflected as $0 in the table above as these names executive officers do not have unvested stock options as of December 31, 2018.</w:t>
      </w:r>
    </w:p>
    <w:p>
      <w:pPr>
        <w:spacing w:after="0" w:line="292" w:lineRule="exact"/>
        <w:rPr>
          <w:rFonts w:ascii="Arial" w:cs="Arial" w:eastAsia="Arial" w:hAnsi="Arial"/>
          <w:sz w:val="18"/>
          <w:szCs w:val="18"/>
          <w:color w:val="auto"/>
        </w:rPr>
      </w:pPr>
    </w:p>
    <w:p>
      <w:pPr>
        <w:ind w:firstLine="332"/>
        <w:spacing w:after="0" w:line="277" w:lineRule="auto"/>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December 31, 2018, the exercise price of Mr. Kagan's unvested stock options was greater than the closing price of Globalstar common stock on that date, as such, the value is reflected as $0 in the table above.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December 31, 2018 regarding the number of shares of Common Stock that may be issued under our equity compensation plans.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Number of securities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4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remaining available for</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2"/>
              </w:rPr>
              <w:t>Number of securities</w:t>
            </w:r>
          </w:p>
        </w:tc>
        <w:tc>
          <w:tcPr>
            <w:tcW w:w="46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8"/>
              </w:rPr>
              <w:t>Weighted-average</w:t>
            </w:r>
          </w:p>
        </w:tc>
        <w:tc>
          <w:tcPr>
            <w:tcW w:w="44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future issuance under equity</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to be issued upon</w:t>
            </w:r>
          </w:p>
        </w:tc>
        <w:tc>
          <w:tcPr>
            <w:tcW w:w="46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exercise price of</w:t>
            </w:r>
          </w:p>
        </w:tc>
        <w:tc>
          <w:tcPr>
            <w:tcW w:w="44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8"/>
              </w:rPr>
              <w:t>compensation plans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0"/>
              </w:rPr>
              <w:t>exercise of outstanding</w:t>
            </w:r>
          </w:p>
        </w:tc>
        <w:tc>
          <w:tcPr>
            <w:tcW w:w="46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outstanding options,</w:t>
            </w:r>
          </w:p>
        </w:tc>
        <w:tc>
          <w:tcPr>
            <w:tcW w:w="44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(excluding securities reflected</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520" w:type="dxa"/>
            <w:vAlign w:val="bottom"/>
            <w:vMerge w:val="restart"/>
          </w:tcPr>
          <w:p>
            <w:pPr>
              <w:ind w:left="40"/>
              <w:spacing w:after="0"/>
              <w:rPr>
                <w:sz w:val="20"/>
                <w:szCs w:val="20"/>
                <w:color w:val="auto"/>
              </w:rPr>
            </w:pPr>
            <w:r>
              <w:rPr>
                <w:rFonts w:ascii="Arial" w:cs="Arial" w:eastAsia="Arial" w:hAnsi="Arial"/>
                <w:sz w:val="18"/>
                <w:szCs w:val="18"/>
                <w:color w:val="auto"/>
              </w:rPr>
              <w:t>Plan category</w:t>
            </w:r>
          </w:p>
        </w:tc>
        <w:tc>
          <w:tcPr>
            <w:tcW w:w="2520" w:type="dxa"/>
            <w:vAlign w:val="bottom"/>
          </w:tcPr>
          <w:p>
            <w:pPr>
              <w:jc w:val="center"/>
              <w:spacing w:after="0"/>
              <w:rPr>
                <w:sz w:val="20"/>
                <w:szCs w:val="20"/>
                <w:color w:val="auto"/>
              </w:rPr>
            </w:pPr>
            <w:r>
              <w:rPr>
                <w:rFonts w:ascii="Arial" w:cs="Arial" w:eastAsia="Arial" w:hAnsi="Arial"/>
                <w:sz w:val="18"/>
                <w:szCs w:val="18"/>
                <w:color w:val="auto"/>
                <w:w w:val="90"/>
              </w:rPr>
              <w:t>options, warrants and rights</w:t>
            </w:r>
          </w:p>
        </w:tc>
        <w:tc>
          <w:tcPr>
            <w:tcW w:w="460" w:type="dxa"/>
            <w:vAlign w:val="bottom"/>
          </w:tcPr>
          <w:p>
            <w:pPr>
              <w:spacing w:after="0"/>
              <w:rPr>
                <w:sz w:val="23"/>
                <w:szCs w:val="23"/>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warrants and rights</w:t>
            </w:r>
          </w:p>
        </w:tc>
        <w:tc>
          <w:tcPr>
            <w:tcW w:w="44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in column (a))</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tcPr>
          <w:p>
            <w:pPr>
              <w:ind w:left="40"/>
              <w:spacing w:after="0"/>
              <w:rPr>
                <w:sz w:val="20"/>
                <w:szCs w:val="20"/>
                <w:color w:val="auto"/>
              </w:rPr>
            </w:pPr>
            <w:r>
              <w:rPr>
                <w:rFonts w:ascii="Arial" w:cs="Arial" w:eastAsia="Arial" w:hAnsi="Arial"/>
                <w:sz w:val="18"/>
                <w:szCs w:val="18"/>
                <w:color w:val="auto"/>
              </w:rPr>
              <w:t>Equity compensation plans</w:t>
            </w:r>
          </w:p>
        </w:tc>
        <w:tc>
          <w:tcPr>
            <w:tcW w:w="2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approved by security holders</w:t>
            </w:r>
          </w:p>
        </w:tc>
        <w:tc>
          <w:tcPr>
            <w:tcW w:w="2520" w:type="dxa"/>
            <w:vAlign w:val="bottom"/>
            <w:vMerge w:val="restart"/>
          </w:tcPr>
          <w:p>
            <w:pPr>
              <w:jc w:val="right"/>
              <w:ind w:right="30"/>
              <w:spacing w:after="0"/>
              <w:rPr>
                <w:sz w:val="20"/>
                <w:szCs w:val="20"/>
                <w:color w:val="auto"/>
              </w:rPr>
            </w:pPr>
            <w:r>
              <w:rPr>
                <w:rFonts w:ascii="Arial" w:cs="Arial" w:eastAsia="Arial" w:hAnsi="Arial"/>
                <w:sz w:val="18"/>
                <w:szCs w:val="18"/>
                <w:color w:val="auto"/>
              </w:rPr>
              <w:t>11,308,516</w:t>
            </w: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(1)</w:t>
            </w:r>
          </w:p>
        </w:tc>
        <w:tc>
          <w:tcPr>
            <w:tcW w:w="2540" w:type="dxa"/>
            <w:vAlign w:val="bottom"/>
            <w:vMerge w:val="restart"/>
          </w:tcPr>
          <w:p>
            <w:pPr>
              <w:jc w:val="right"/>
              <w:ind w:right="30"/>
              <w:spacing w:after="0"/>
              <w:rPr>
                <w:sz w:val="20"/>
                <w:szCs w:val="20"/>
                <w:color w:val="auto"/>
              </w:rPr>
            </w:pPr>
            <w:r>
              <w:rPr>
                <w:rFonts w:ascii="Arial" w:cs="Arial" w:eastAsia="Arial" w:hAnsi="Arial"/>
                <w:sz w:val="18"/>
                <w:szCs w:val="18"/>
                <w:color w:val="auto"/>
              </w:rPr>
              <w:t>$1.45</w:t>
            </w:r>
          </w:p>
        </w:tc>
        <w:tc>
          <w:tcPr>
            <w:tcW w:w="440" w:type="dxa"/>
            <w:vAlign w:val="bottom"/>
            <w:vMerge w:val="restart"/>
          </w:tcPr>
          <w:p>
            <w:pPr>
              <w:jc w:val="right"/>
              <w:ind w:right="130"/>
              <w:spacing w:after="0"/>
              <w:rPr>
                <w:sz w:val="20"/>
                <w:szCs w:val="20"/>
                <w:color w:val="auto"/>
              </w:rPr>
            </w:pPr>
            <w:r>
              <w:rPr>
                <w:rFonts w:ascii="Arial" w:cs="Arial" w:eastAsia="Arial" w:hAnsi="Arial"/>
                <w:sz w:val="18"/>
                <w:szCs w:val="18"/>
                <w:color w:val="auto"/>
                <w:w w:val="90"/>
              </w:rPr>
              <w:t>(2)</w:t>
            </w:r>
          </w:p>
        </w:tc>
        <w:tc>
          <w:tcPr>
            <w:tcW w:w="2500" w:type="dxa"/>
            <w:vAlign w:val="bottom"/>
            <w:vMerge w:val="restart"/>
          </w:tcPr>
          <w:p>
            <w:pPr>
              <w:jc w:val="right"/>
              <w:ind w:right="30"/>
              <w:spacing w:after="0"/>
              <w:rPr>
                <w:sz w:val="20"/>
                <w:szCs w:val="20"/>
                <w:color w:val="auto"/>
              </w:rPr>
            </w:pPr>
            <w:r>
              <w:rPr>
                <w:rFonts w:ascii="Arial" w:cs="Arial" w:eastAsia="Arial" w:hAnsi="Arial"/>
                <w:sz w:val="18"/>
                <w:szCs w:val="18"/>
                <w:color w:val="auto"/>
              </w:rPr>
              <w:t>1,171,454</w:t>
            </w:r>
          </w:p>
        </w:tc>
        <w:tc>
          <w:tcPr>
            <w:tcW w:w="44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5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54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 not</w:t>
            </w:r>
          </w:p>
        </w:tc>
        <w:tc>
          <w:tcPr>
            <w:tcW w:w="2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approved by security holders</w:t>
            </w:r>
          </w:p>
        </w:tc>
        <w:tc>
          <w:tcPr>
            <w:tcW w:w="25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2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25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vMerge w:val="continue"/>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vMerge w:val="continue"/>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vMerge w:val="continue"/>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8"/>
                <w:szCs w:val="18"/>
                <w:color w:val="auto"/>
              </w:rPr>
              <w:t>Total</w:t>
            </w:r>
          </w:p>
        </w:tc>
        <w:tc>
          <w:tcPr>
            <w:tcW w:w="2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11,308,516</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(1)</w:t>
            </w:r>
          </w:p>
        </w:tc>
        <w:tc>
          <w:tcPr>
            <w:tcW w:w="2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(2)</w:t>
            </w:r>
          </w:p>
        </w:tc>
        <w:tc>
          <w:tcPr>
            <w:tcW w:w="2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1,171,454</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00" w:hanging="465"/>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6"/>
          <w:szCs w:val="16"/>
          <w:color w:val="auto"/>
        </w:rPr>
        <w:t>Consists of unvested restricted stock awards, unvested restricted stock units and unexercised stock options that are in the money as of April 2, 2019.</w:t>
      </w:r>
    </w:p>
    <w:p>
      <w:pPr>
        <w:spacing w:after="0" w:line="302" w:lineRule="exact"/>
        <w:rPr>
          <w:rFonts w:ascii="Arial" w:cs="Arial" w:eastAsia="Arial" w:hAnsi="Arial"/>
          <w:sz w:val="14"/>
          <w:szCs w:val="14"/>
          <w:color w:val="auto"/>
        </w:rPr>
      </w:pPr>
    </w:p>
    <w:p>
      <w:pPr>
        <w:ind w:left="500" w:right="20" w:hanging="465"/>
        <w:spacing w:after="0" w:line="277"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8"/>
          <w:szCs w:val="18"/>
          <w:color w:val="auto"/>
        </w:rPr>
        <w:t>Restricted stock awards and restricted stock units do not have an exercise price; therefore, this only reflects the weighted-average exercise price of stock options.</w:t>
      </w:r>
    </w:p>
    <w:p>
      <w:pPr>
        <w:spacing w:after="0" w:line="224" w:lineRule="exact"/>
        <w:rPr>
          <w:rFonts w:ascii="Arial" w:cs="Arial" w:eastAsia="Arial" w:hAnsi="Arial"/>
          <w:sz w:val="16"/>
          <w:szCs w:val="16"/>
          <w:color w:val="auto"/>
        </w:rPr>
      </w:pPr>
    </w:p>
    <w:p>
      <w:pPr>
        <w:ind w:left="500" w:right="40" w:hanging="465"/>
        <w:spacing w:after="0" w:line="277"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8"/>
          <w:szCs w:val="18"/>
          <w:color w:val="auto"/>
        </w:rPr>
        <w:t>Consists of remaining shares of common stock available under the Amended and Restated 2006 Equity Incentive Plan at December 31, 2018. Also includes shares issuable under our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96"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2018 PAY RATIO</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Dodd-Frank Wall Street Reform and Consumer Protection Act (the "Dodd-Frank Act"), enacted in July 2010, requires that we disclose the ratio of annual total compensation of Mr. Kagan, our CEO, to the annual total compensation of the median employee of Globalstar.</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2018, the total compensation for the median employee of Globalstar was $74,649. Mr. Kagan’s compensation from Globalstar, based on his annual salary as CEO, was $1,547,386 and, as such, the ratio is 1 to 21.</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median employee was identified by reviewing the total cash base salary for all Globalstar employees, including its consolidated subsidiaries, on March 1, 2019. As of this date, we employed 345 individuals in nine countries. Any salaries denominated in foreign currencies were translated to U.S. dollars at the corresponding exchange rate as of March 1, 2019. All of the Company's full-time and part-time employees were included in the calculation and adjustments were made to annualize cash compensation for any employees not employed by Globalstar for the entire year. Mr. Kagan was excluded from the calculation of median employee for purposes of this determination.</w:t>
      </w:r>
    </w:p>
    <w:p>
      <w:pPr>
        <w:spacing w:after="0" w:line="8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After identifying the median employee based on the criteria described above, the total compensation for this employee was calculated using the same methodology that was used in the 2018 Summary Compensation Table. Total compensation during 2018 for this employee includes base salary, the balance of accrued vacation as of December 31, 2018 and premiums paid by Globalstar for life insurance. This employee did not receive a bonus or stock compensation and did not contribute to the Company's 401(k) plan during 2018 and as such, Globalstar did not contribute to this employee's 401(k) plan during the year.</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global telecommunications company, our workforce is diverse from full-time engineers and technical experts to part-time hourly customer care personnel. We believe our median employee compensation is reasonable given the highly technical nature of our infrastructure.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accounting firm of Crowe LLP, formerly known as Crowe Horwath LLP, has served as our independent registered public accountants beginning with the audit of the year ended December 31, 2005. We have been informed that neither Crowe LLP nor any of its partners has any direct financial interest or any material indirect financial interest in Globalstar and during the past five years has had no connection therewith in the capacity of promoter, underwriter, director, officer or employee.</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Audit Committee pre-approves all audit and permissible non-audit services to be provided by the independent registered public accountants. Non-audit services may include audit-related services, tax services and other services not prohibited by SEC rules on auditor independence. Pre-approval is detailed as to the particular service or category of services and generally is subject to a specific budget. The independent auditors report periodically to the Audit Committee regarding the extent of services they provided in accordance with the Committee’s pre-approvals and the fees for services performed to date. In 2018, the Audit Committee’s pre-approval requirement was not waived for any fees or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aggregate fees billed by Crowe LLP for professional services rendered for the audits of our annual financial statements were $612,221 in 2018 and $633,681 in 2017. These fees also covered other filings under the Securities Act of 1933 and the Securities Exchange Act of 1934 and services that are normally provided by the independent registered public accountants in connection with statutory and regulatory filings or engagements. In connection with the proposed merger (as discussed further in the Thermo Agreements section below), the aggregate fees billed by Crowe LLP for professional services rendered for the then-anticipated audits of FiberLight's financial statements were $811,067 in 2018. In connection with our public offering of common stock in 2018, additional procedures were required for comfort letters, consents and other related services; fees for these procedures are included in the 2018 billed amount for the audit of our financial statements and totaled $41,750.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aggregate fees billed by Crowe LLP for services that were reasonably related to the performance of the audit or review of our consolidated financial statements not reported under “Audit Fees” above were $15,975 in 2018 and $12,525 in 2017. These charges include primarily agreed-upon procedures required to comply with the terms of our Facility Agreement and an audit required to comply with the terms of our Cooperative Endeavor Agreement with the State of Louisiana.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2018 and 2017, we did not pay Crowe LLP any fees for professional services rendered for tax compliance, tax advice and tax planning.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Crowe LLP did not provide any products or services other than those reported in the preceding paragraphs.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Compensation Committee Interlocks and Insider Participation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of Transactions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Board has adopted a Related Person Transactions Policy with respect to transactions in which we participate and related persons have a material interest. Related persons include our executive officers, directors, director nominees, beneficial owners of 5% or more of our common stock and immediate family members of these persons. Under the policy, the Audit Committee is responsible for reviewing and approving or ratifying related person transactions that exceed $120,000 per year. Certain related person transactions have been deemed pre-approved by the Audit Committee and do not require any other approval under the policy. If an Audit Committee member or his or her family member is involved in a related person transaction, the member will not participate in the approval or ratification of the transaction. In instances where it is not practicable or desirable to wait until the next meeting of the Audit Committee for review of a related person transaction, the policy grants to the Chair of the Audit Committee (or, if the Chair or his or her family member is involved in the related person transaction, any other member of the Audit Committee) delegated authority to act between Audit Committee meetings for these purposes. A report of any action taken pursuant to delegated authority must be made at the next Audit Committee meeting.</w:t>
      </w:r>
    </w:p>
    <w:p>
      <w:pPr>
        <w:spacing w:after="0" w:line="16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the Audit Committee to approve a related person transaction, it must be satisfied that it has been fully informed of the interests, relationships and actual or potential conflicts present in the transaction and must believe that the transaction is fair to us. The Audit Committee also must believe, if necessary, that we have developed a plan to manage any actual or potential conflicts of interest. The Audit Committee may ratify a related person transaction that did not receive pre-approval if it determines that there is a compelling business or legal reason for the Company to continue with the transaction, the transaction is fair to the Company and the failure to comply with the policy's pre-approval requirements was not due to fraud or deceit.</w:t>
      </w:r>
    </w:p>
    <w:p>
      <w:pPr>
        <w:spacing w:after="0" w:line="1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case of transactions involving Mr. Monroe or entities controlled by him, a special committee of independent directors has reviewed and approved all transactions.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related party transactions involving Thermo are also subject to review by the Strategic Review Committee, as discussed above in “Strategic Review Committee” under the heading “Information about the Board and Its Committees.”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Related Party Transactions and Compensation Committee Interlocks and Insider Participation</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u w:val="single" w:color="auto"/>
          <w:color w:val="auto"/>
        </w:rPr>
        <w:t>Services Provided by Thermo</w:t>
      </w:r>
      <w:r>
        <w:rPr>
          <w:rFonts w:ascii="Arial" w:cs="Arial" w:eastAsia="Arial" w:hAnsi="Arial"/>
          <w:sz w:val="17"/>
          <w:szCs w:val="17"/>
          <w:color w:val="auto"/>
        </w:rPr>
        <w:t>. We have an understanding with Thermo that we will reimburse Thermo for expenses incurred by Messrs. Monroe, Lynch, Taylor and Roberts and any other Thermo employee in connection with their services to us, including third-party out-of-pocket temporary living expenses while at our offices or traveling on our business (with no mark-up). For the year ended December 31, 2018, we recorded approximately $59,000 for general and administrative expenses incurred by Thermo on our behalf. In addition, we recorded approximately $428,000 for services provided to us by officers of Thermo that were accounted for as a non-cash contribution to capital and approximately $966,000 for services provided by other consultants and Thermo employees, including approximately $733,000 of legal fees related to the proposed merger and subsequent litigation (described further below). No other fees, except those described above or under “Director Compensation,” are paid to Thermo or its employees.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Thermo Agreements</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April 24, 2018, Globalstar, Inc. (“Globalstar”) entered into an Agreement and Plan of Merger (the “Merger Agreement”) with GBS Acquisitions, Inc., a Delaware corporation and wholly owned subsidiary of Globalstar (“Merger Sub”), Thermo Acquisitions, Inc., a Delaware corporation (“TAF”), the stockholders of TAF, and Thermo Development, Inc. (“TDI”), in its capacity as the representative of the Thermo Stockholders as set forth therein (the “Stockholders’ Representative”), which contemplated that Merger Sub would be merged with and into TAF, with TAF continuing as the surviving entity and wholly owned subsidiary of Globalstar. TAF and TDI are controlled by Jay Monroe. On July 31, 2018, Globalstar, following the unanimous recommendation of its Special Committee of independent directors, and the Stockholders’ Representative terminated the Merger Agreement by mutual written agreement by entering into a Termination of Agreement and Plan of Merger, between Globalstar and the Stockholders’ Representative. No termination fees are payable in connection with the termination of the Merger Agreement.</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2018, the Company offered and sold 171.4 million shares of common stock at a public offering price of $0.35 per share (the “2018 Offering”). Thermo purchased 141.0 million shares in the 2018 at the public offering price for a total settlement amount of $49.3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Further discussion on other agreements we have with Thermo are disclosed in our Form 10-K for the fiscal year ended December 31, 2018.</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Stockholder Proposals at the 2020 Annual Meeting</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order for any stockholder proposal to be eligible for inclusion in our proxy statement and on our proxy card for the 2020 Annual Meeting of Stockholders, it must be received by our Director of Investor Relations at the address in the paragraph immediately following this one not later than December 17, 2019. The proxy card we distribute for the 2020 Annual Meeting of Stockholders may include discretionary authority to vote on any matter that is presented to stockholders at that meeting (other than by the Board) if we do not receive notice of the matter at this address by March 1, 2020.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SEC rules, only one annual report, proxy statement or Notice of Internet Availability of Proxy Materials, as applicable, need be sent to any household at which two or more of our stockholders reside if they appear to be members of the same family and contrary instructions have not been received from an affected stockholder. This procedure, referred to as householding, reduces the volume of duplicate information stockholders receive and reduces mailing and printing expenses for us. Brokers with account holders who are our stockholders may be householding these materials. Once you have received notice from your broker that it will be householding communications to your address, householding will continue until you are notified otherwise or until you revoke your consent. If, now or at any time in the future, you no longer wish to participate in householding and would like to receive a separate annual report, proxy statement or Notice of Internet Availability of Proxy Materials, or if you currently receive multiple copies of these documents at your address and would prefer that the communications be householded, you should contact us at investorrelations@globalstar.com or Globalstar, Inc., Attention: Investor Relations, 1351 Holiday Square Blvd., Covington, Louisiana 70433.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Requests for Certain Documents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make available free of charge financial information, news releases, SEC filings, including our annual report on Form 10-K, quarterly reports on Form 10-Q, current reports on Form 8-K and amendments to these reports as soon as reasonably practical after we electronically file such material with, or furnish it to, the SEC, on our website at </w:t>
      </w:r>
      <w:r>
        <w:rPr>
          <w:rFonts w:ascii="Arial" w:cs="Arial" w:eastAsia="Arial" w:hAnsi="Arial"/>
          <w:sz w:val="18"/>
          <w:szCs w:val="18"/>
          <w:i w:val="1"/>
          <w:iCs w:val="1"/>
          <w:color w:val="auto"/>
        </w:rPr>
        <w:t>www.globalstar.com</w:t>
      </w:r>
      <w:r>
        <w:rPr>
          <w:rFonts w:ascii="Arial" w:cs="Arial" w:eastAsia="Arial" w:hAnsi="Arial"/>
          <w:sz w:val="18"/>
          <w:szCs w:val="18"/>
          <w:color w:val="auto"/>
        </w:rPr>
        <w:t>. The documents available on, and the contents of, our website are not incorporated by reference into this proxy statement. You may request a copy of these documents by contacting us by phone at (985) 335-1500 or by mail at Globalstar, Inc., Attention: Investor Relations, 1351 Holiday Square Blvd., Covington, Louisiana 70433.</w:t>
      </w:r>
    </w:p>
    <w:p>
      <w:pPr>
        <w:spacing w:after="0" w:line="36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Richard S. Roberts, Corporate Secretary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Covington,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16,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88"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u w:val="single" w:color="auto"/>
          <w:color w:val="auto"/>
        </w:rPr>
        <w:t>Appendix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 Globalstar,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2006 Equity Incentive Plan</w:t>
      </w:r>
    </w:p>
    <w:p>
      <w:pPr>
        <w:spacing w:after="0" w:line="200" w:lineRule="exact"/>
        <w:rPr>
          <w:sz w:val="20"/>
          <w:szCs w:val="20"/>
          <w:color w:val="auto"/>
        </w:rPr>
      </w:pPr>
    </w:p>
    <w:p>
      <w:pPr>
        <w:spacing w:after="0" w:line="293" w:lineRule="exact"/>
        <w:rPr>
          <w:sz w:val="20"/>
          <w:szCs w:val="20"/>
          <w:color w:val="auto"/>
        </w:rPr>
      </w:pPr>
    </w:p>
    <w:p>
      <w:pPr>
        <w:ind w:left="1460" w:hanging="804"/>
        <w:spacing w:after="0"/>
        <w:tabs>
          <w:tab w:leader="none" w:pos="1460"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ESTABLISHMENT, PURPOSE AND TERMS OF PLAN</w:t>
      </w:r>
      <w:r>
        <w:rPr>
          <w:rFonts w:ascii="Arial" w:cs="Arial" w:eastAsia="Arial" w:hAnsi="Arial"/>
          <w:sz w:val="22"/>
          <w:szCs w:val="22"/>
          <w:b w:val="1"/>
          <w:bCs w:val="1"/>
          <w:color w:val="auto"/>
        </w:rPr>
        <w:t>.</w:t>
      </w:r>
    </w:p>
    <w:p>
      <w:pPr>
        <w:spacing w:after="0" w:line="260" w:lineRule="exact"/>
        <w:rPr>
          <w:sz w:val="20"/>
          <w:szCs w:val="20"/>
          <w:color w:val="auto"/>
        </w:rPr>
      </w:pPr>
    </w:p>
    <w:p>
      <w:pPr>
        <w:ind w:right="40" w:firstLine="1297"/>
        <w:spacing w:after="0" w:line="28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b w:val="1"/>
          <w:bCs w:val="1"/>
          <w:color w:val="auto"/>
        </w:rPr>
        <w:t>Establishment and Reestablishment</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 Globalstar, Inc. 2006 Equity Incentive Plan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Original Plan</w:t>
      </w:r>
      <w:r>
        <w:rPr>
          <w:rFonts w:ascii="Arial" w:cs="Arial" w:eastAsia="Arial" w:hAnsi="Arial"/>
          <w:sz w:val="19"/>
          <w:szCs w:val="19"/>
          <w:i w:val="1"/>
          <w:iCs w:val="1"/>
          <w:color w:val="auto"/>
        </w:rPr>
        <w:t>”</w:t>
      </w:r>
      <w:r>
        <w:rPr>
          <w:rFonts w:ascii="Arial" w:cs="Arial" w:eastAsia="Arial" w:hAnsi="Arial"/>
          <w:sz w:val="19"/>
          <w:szCs w:val="19"/>
          <w:color w:val="auto"/>
        </w:rPr>
        <w:t>) was approved and adopted by the Board of Directors and a majority of our stockholders on July 12, 2006 and became effective on November 1, 2006, the date of the registration of our common stock under the Securities Act of 1933 (the “</w:t>
      </w:r>
      <w:r>
        <w:rPr>
          <w:rFonts w:ascii="Arial" w:cs="Arial" w:eastAsia="Arial" w:hAnsi="Arial"/>
          <w:sz w:val="19"/>
          <w:szCs w:val="19"/>
          <w:b w:val="1"/>
          <w:bCs w:val="1"/>
          <w:i w:val="1"/>
          <w:iCs w:val="1"/>
          <w:color w:val="auto"/>
        </w:rPr>
        <w:t>Original Effective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w:t>
      </w:r>
      <w:r>
        <w:rPr>
          <w:rFonts w:ascii="Arial" w:cs="Arial" w:eastAsia="Arial" w:hAnsi="Arial"/>
          <w:sz w:val="19"/>
          <w:szCs w:val="19"/>
          <w:color w:val="auto"/>
        </w:rPr>
        <w:t>”). The Amended and Restated Globalstar, Inc. 2006 Equity Incentive Plan (the “</w:t>
      </w:r>
      <w:r>
        <w:rPr>
          <w:rFonts w:ascii="Arial" w:cs="Arial" w:eastAsia="Arial" w:hAnsi="Arial"/>
          <w:sz w:val="19"/>
          <w:szCs w:val="19"/>
          <w:b w:val="1"/>
          <w:bCs w:val="1"/>
          <w:i w:val="1"/>
          <w:iCs w:val="1"/>
          <w:color w:val="auto"/>
        </w:rPr>
        <w:t>First Amended and Restated Plan</w:t>
      </w:r>
      <w:r>
        <w:rPr>
          <w:rFonts w:ascii="Arial" w:cs="Arial" w:eastAsia="Arial" w:hAnsi="Arial"/>
          <w:sz w:val="19"/>
          <w:szCs w:val="19"/>
          <w:color w:val="auto"/>
        </w:rPr>
        <w:t>”) was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approved and adopted by the Board of Directors on March 7, 2008 (the “</w:t>
      </w:r>
      <w:r>
        <w:rPr>
          <w:rFonts w:ascii="Arial" w:cs="Arial" w:eastAsia="Arial" w:hAnsi="Arial"/>
          <w:sz w:val="19"/>
          <w:szCs w:val="19"/>
          <w:b w:val="1"/>
          <w:bCs w:val="1"/>
          <w:i w:val="1"/>
          <w:iCs w:val="1"/>
          <w:color w:val="auto"/>
        </w:rPr>
        <w:t>First Restatement Effective Date</w:t>
      </w:r>
      <w:r>
        <w:rPr>
          <w:rFonts w:ascii="Arial" w:cs="Arial" w:eastAsia="Arial" w:hAnsi="Arial"/>
          <w:sz w:val="19"/>
          <w:szCs w:val="19"/>
          <w:color w:val="auto"/>
        </w:rPr>
        <w:t>”) and was approved by the stockholders of the Company on May 13, 2008. The Second Amended and Restated Globalstar, Inc. 2006 Equity Incentive Plan (the “</w:t>
      </w:r>
      <w:r>
        <w:rPr>
          <w:rFonts w:ascii="Arial" w:cs="Arial" w:eastAsia="Arial" w:hAnsi="Arial"/>
          <w:sz w:val="19"/>
          <w:szCs w:val="19"/>
          <w:b w:val="1"/>
          <w:bCs w:val="1"/>
          <w:i w:val="1"/>
          <w:iCs w:val="1"/>
          <w:color w:val="auto"/>
        </w:rPr>
        <w:t>Second Amended and Restated Plan</w:t>
      </w:r>
      <w:r>
        <w:rPr>
          <w:rFonts w:ascii="Arial" w:cs="Arial" w:eastAsia="Arial" w:hAnsi="Arial"/>
          <w:sz w:val="19"/>
          <w:szCs w:val="19"/>
          <w:color w:val="auto"/>
        </w:rPr>
        <w:t>”) was approved and adopted by the Board of Directors on April 18, 2016 (the “</w:t>
      </w:r>
      <w:r>
        <w:rPr>
          <w:rFonts w:ascii="Arial" w:cs="Arial" w:eastAsia="Arial" w:hAnsi="Arial"/>
          <w:sz w:val="19"/>
          <w:szCs w:val="19"/>
          <w:b w:val="1"/>
          <w:bCs w:val="1"/>
          <w:i w:val="1"/>
          <w:iCs w:val="1"/>
          <w:color w:val="auto"/>
        </w:rPr>
        <w:t>Second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Restatement Effective Date</w:t>
      </w:r>
      <w:r>
        <w:rPr>
          <w:rFonts w:ascii="Arial" w:cs="Arial" w:eastAsia="Arial" w:hAnsi="Arial"/>
          <w:sz w:val="19"/>
          <w:szCs w:val="19"/>
          <w:color w:val="auto"/>
        </w:rPr>
        <w:t>”) and was approved by the stockholders of the Company on June 16, 2016. The Third Amended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Restated Globalstar, Inc. 2006 Equity Incentive Plan (the “</w:t>
      </w:r>
      <w:r>
        <w:rPr>
          <w:rFonts w:ascii="Arial" w:cs="Arial" w:eastAsia="Arial" w:hAnsi="Arial"/>
          <w:sz w:val="19"/>
          <w:szCs w:val="19"/>
          <w:b w:val="1"/>
          <w:bCs w:val="1"/>
          <w:i w:val="1"/>
          <w:iCs w:val="1"/>
          <w:color w:val="auto"/>
        </w:rPr>
        <w:t>Third Amended and Restated Plan</w:t>
      </w:r>
      <w:r>
        <w:rPr>
          <w:rFonts w:ascii="Arial" w:cs="Arial" w:eastAsia="Arial" w:hAnsi="Arial"/>
          <w:sz w:val="19"/>
          <w:szCs w:val="19"/>
          <w:color w:val="auto"/>
        </w:rPr>
        <w:t>”) was approved and adopted by the Board of Directors on February 26, 2019 (the “</w:t>
      </w:r>
      <w:r>
        <w:rPr>
          <w:rFonts w:ascii="Arial" w:cs="Arial" w:eastAsia="Arial" w:hAnsi="Arial"/>
          <w:sz w:val="19"/>
          <w:szCs w:val="19"/>
          <w:b w:val="1"/>
          <w:bCs w:val="1"/>
          <w:i w:val="1"/>
          <w:iCs w:val="1"/>
          <w:color w:val="auto"/>
        </w:rPr>
        <w:t>Third Restatement Effective Date</w:t>
      </w:r>
      <w:r>
        <w:rPr>
          <w:rFonts w:ascii="Arial" w:cs="Arial" w:eastAsia="Arial" w:hAnsi="Arial"/>
          <w:sz w:val="19"/>
          <w:szCs w:val="19"/>
          <w:color w:val="auto"/>
        </w:rPr>
        <w:t>”) and will be approved by the stockholders of the Company on May 29, 2019. (The Original Plan, First Amended and Restated Plan, Second Amended and Restated Plan and Third Amended and Restated Plan shall be referred to collectively as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This Third Amended and Restated Plan is intended to be a new plan for purposes of Section 422 of the Code.</w:t>
      </w:r>
    </w:p>
    <w:p>
      <w:pPr>
        <w:spacing w:after="0" w:line="196" w:lineRule="exact"/>
        <w:rPr>
          <w:sz w:val="20"/>
          <w:szCs w:val="20"/>
          <w:color w:val="auto"/>
        </w:rPr>
      </w:pPr>
    </w:p>
    <w:p>
      <w:pPr>
        <w:ind w:right="160" w:firstLine="1297"/>
        <w:spacing w:after="0" w:line="298"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b w:val="1"/>
          <w:bCs w:val="1"/>
          <w:color w:val="auto"/>
        </w:rPr>
        <w:t>Purpose</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Purchase Rights, Restricted Stock Bonuses, Restricted Stock Units, Performance Shares and Performance Units.</w:t>
      </w:r>
    </w:p>
    <w:p>
      <w:pPr>
        <w:spacing w:after="0" w:line="183" w:lineRule="exact"/>
        <w:rPr>
          <w:sz w:val="20"/>
          <w:szCs w:val="20"/>
          <w:color w:val="auto"/>
        </w:rPr>
      </w:pPr>
    </w:p>
    <w:p>
      <w:pPr>
        <w:ind w:right="60" w:firstLine="1297"/>
        <w:spacing w:after="0" w:line="248"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b w:val="1"/>
          <w:bCs w:val="1"/>
          <w:color w:val="auto"/>
        </w:rPr>
        <w:t>Term of Plan.</w:t>
      </w:r>
      <w:r>
        <w:rPr>
          <w:rFonts w:ascii="Arial" w:cs="Arial" w:eastAsia="Arial" w:hAnsi="Arial"/>
          <w:sz w:val="22"/>
          <w:szCs w:val="22"/>
          <w:color w:val="auto"/>
        </w:rPr>
        <w:t xml:space="preserve"> The Original Plan, First Amended and Restated Plan, Second Amended and Restated Plan shall continue in effect until their termination by the Committee; provided, however, that all Awards granted under the Original Plan and the First Amended and Restated Plan and the Second Amended and Restated Plan shall be granted, if at all, within ten (10) years from the Original Effective Date, the First Restatement Effective Date and the Second Restatement Effective Date, respectively, and all Awards granted under the Third Amended and Restated Plan shall be granted, if at all, within ten (10) years from the Third Restatement Effective Date.</w:t>
      </w:r>
    </w:p>
    <w:p>
      <w:pPr>
        <w:spacing w:after="0" w:line="228" w:lineRule="exact"/>
        <w:rPr>
          <w:sz w:val="20"/>
          <w:szCs w:val="20"/>
          <w:color w:val="auto"/>
        </w:rPr>
      </w:pPr>
    </w:p>
    <w:p>
      <w:pPr>
        <w:ind w:left="1460" w:hanging="804"/>
        <w:spacing w:after="0"/>
        <w:tabs>
          <w:tab w:leader="none" w:pos="1460"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 AND CONSTRUCTION</w:t>
      </w:r>
      <w:r>
        <w:rPr>
          <w:rFonts w:ascii="Arial" w:cs="Arial" w:eastAsia="Arial" w:hAnsi="Arial"/>
          <w:sz w:val="22"/>
          <w:szCs w:val="22"/>
          <w:b w:val="1"/>
          <w:bCs w:val="1"/>
          <w:color w:val="auto"/>
        </w:rPr>
        <w:t>.</w:t>
      </w:r>
    </w:p>
    <w:p>
      <w:pPr>
        <w:spacing w:after="0" w:line="26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color w:val="auto"/>
        </w:rPr>
        <w:t xml:space="preserve">Definitions. </w:t>
      </w:r>
      <w:r>
        <w:rPr>
          <w:rFonts w:ascii="Arial" w:cs="Arial" w:eastAsia="Arial" w:hAnsi="Arial"/>
          <w:sz w:val="19"/>
          <w:szCs w:val="19"/>
          <w:color w:val="auto"/>
        </w:rPr>
        <w:t>Whenever used herein, the following terms shall have their respective meanings set forth below:</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w:t>
      </w:r>
    </w:p>
    <w:p>
      <w:pPr>
        <w:sectPr>
          <w:pgSz w:w="11900" w:h="16838" w:orient="portrait"/>
          <w:cols w:equalWidth="0" w:num="1">
            <w:col w:w="11420"/>
          </w:cols>
          <w:pgMar w:left="240" w:top="585" w:right="239" w:bottom="1440" w:gutter="0" w:footer="0" w:header="0"/>
        </w:sectPr>
      </w:pPr>
    </w:p>
    <w:bookmarkStart w:id="35" w:name="page36"/>
    <w:bookmarkEnd w:id="35"/>
    <w:p>
      <w:pPr>
        <w:ind w:left="-40" w:firstLine="1953"/>
        <w:spacing w:after="0" w:line="294" w:lineRule="auto"/>
        <w:tabs>
          <w:tab w:leader="none" w:pos="2793" w:val="left"/>
        </w:tabs>
        <w:numPr>
          <w:ilvl w:val="0"/>
          <w:numId w:val="30"/>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i w:val="1"/>
          <w:iCs w:val="1"/>
          <w:color w:val="auto"/>
        </w:rPr>
        <w:t xml:space="preserve">” </w:t>
      </w:r>
      <w:r>
        <w:rPr>
          <w:rFonts w:ascii="Arial" w:cs="Arial" w:eastAsia="Arial" w:hAnsi="Arial"/>
          <w:sz w:val="19"/>
          <w:szCs w:val="19"/>
          <w:color w:val="auto"/>
        </w:rPr>
        <w:t>means (i) an entity, other than a Parent Corporation, that directly, or indirectly through</w:t>
      </w:r>
      <w:r>
        <w:rPr>
          <w:rFonts w:ascii="Arial" w:cs="Arial" w:eastAsia="Arial" w:hAnsi="Arial"/>
          <w:sz w:val="19"/>
          <w:szCs w:val="19"/>
          <w:i w:val="1"/>
          <w:iCs w:val="1"/>
          <w:color w:val="auto"/>
        </w:rPr>
        <w:t xml:space="preserve"> </w:t>
      </w:r>
      <w:r>
        <w:rPr>
          <w:rFonts w:ascii="Arial" w:cs="Arial" w:eastAsia="Arial" w:hAnsi="Arial"/>
          <w:sz w:val="19"/>
          <w:szCs w:val="19"/>
          <w:color w:val="auto"/>
        </w:rPr>
        <w:t>one or more intermediary entities, controls the Company or (ii) an entity, other than a Subsidiary Corporation, that is controlled by the Company directly or indirectly through one or more intermediary entities. For this purpose, the term “control” (including the term “controlled by”) means the possession, direct or indirect, of the power to direct or cause the direction of the management and policies of the relevant entity, whether through the ownership of voting securities, by contract or otherwise; or shall have such other meaning assigned such term for the purposes of registration on Form S-8 under the Securities Act.</w:t>
      </w:r>
    </w:p>
    <w:p>
      <w:pPr>
        <w:spacing w:after="0" w:line="190" w:lineRule="exact"/>
        <w:rPr>
          <w:rFonts w:ascii="Arial" w:cs="Arial" w:eastAsia="Arial" w:hAnsi="Arial"/>
          <w:sz w:val="19"/>
          <w:szCs w:val="19"/>
          <w:color w:val="auto"/>
        </w:rPr>
      </w:pPr>
    </w:p>
    <w:p>
      <w:pPr>
        <w:ind w:left="-40" w:right="840" w:firstLine="1953"/>
        <w:spacing w:after="0" w:line="343" w:lineRule="auto"/>
        <w:tabs>
          <w:tab w:leader="none" w:pos="2805" w:val="left"/>
        </w:tabs>
        <w:numPr>
          <w:ilvl w:val="0"/>
          <w:numId w:val="30"/>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Award</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any Option, Stock Appreciation Right, Restricted Stock Purchase Right,</w:t>
      </w:r>
      <w:r>
        <w:rPr>
          <w:rFonts w:ascii="Arial" w:cs="Arial" w:eastAsia="Arial" w:hAnsi="Arial"/>
          <w:sz w:val="19"/>
          <w:szCs w:val="19"/>
          <w:i w:val="1"/>
          <w:iCs w:val="1"/>
          <w:color w:val="auto"/>
        </w:rPr>
        <w:t xml:space="preserve"> </w:t>
      </w:r>
      <w:r>
        <w:rPr>
          <w:rFonts w:ascii="Arial" w:cs="Arial" w:eastAsia="Arial" w:hAnsi="Arial"/>
          <w:sz w:val="19"/>
          <w:szCs w:val="19"/>
          <w:color w:val="auto"/>
        </w:rPr>
        <w:t>Restricted Stock Bonus, Restricted Stock Unit, Performance Share and Performance Unit granted under the Plan.</w:t>
      </w:r>
    </w:p>
    <w:p>
      <w:pPr>
        <w:spacing w:after="0" w:line="145" w:lineRule="exact"/>
        <w:rPr>
          <w:rFonts w:ascii="Arial" w:cs="Arial" w:eastAsia="Arial" w:hAnsi="Arial"/>
          <w:sz w:val="19"/>
          <w:szCs w:val="19"/>
          <w:color w:val="auto"/>
        </w:rPr>
      </w:pPr>
    </w:p>
    <w:p>
      <w:pPr>
        <w:ind w:left="-40" w:right="700" w:firstLine="1953"/>
        <w:spacing w:after="0" w:line="343" w:lineRule="auto"/>
        <w:tabs>
          <w:tab w:leader="none" w:pos="2793" w:val="left"/>
        </w:tabs>
        <w:numPr>
          <w:ilvl w:val="0"/>
          <w:numId w:val="30"/>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Award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written or electronic agreement between the Company and a</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Participant setting forth the terms, conditions and restrictions of the Award granted to the Participant.</w:t>
      </w:r>
    </w:p>
    <w:p>
      <w:pPr>
        <w:spacing w:after="0" w:line="145" w:lineRule="exact"/>
        <w:rPr>
          <w:rFonts w:ascii="Arial" w:cs="Arial" w:eastAsia="Arial" w:hAnsi="Arial"/>
          <w:sz w:val="19"/>
          <w:szCs w:val="19"/>
          <w:color w:val="auto"/>
        </w:rPr>
      </w:pPr>
    </w:p>
    <w:p>
      <w:pPr>
        <w:ind w:left="2820" w:hanging="907"/>
        <w:spacing w:after="0"/>
        <w:tabs>
          <w:tab w:leader="none" w:pos="2820" w:val="left"/>
        </w:tabs>
        <w:numPr>
          <w:ilvl w:val="0"/>
          <w:numId w:val="3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Board of Directors of the Company.</w:t>
      </w:r>
    </w:p>
    <w:p>
      <w:pPr>
        <w:spacing w:after="0" w:line="260" w:lineRule="exact"/>
        <w:rPr>
          <w:rFonts w:ascii="Arial" w:cs="Arial" w:eastAsia="Arial" w:hAnsi="Arial"/>
          <w:sz w:val="22"/>
          <w:szCs w:val="22"/>
          <w:color w:val="auto"/>
        </w:rPr>
      </w:pPr>
    </w:p>
    <w:p>
      <w:pPr>
        <w:ind w:left="-40" w:right="40" w:firstLine="1953"/>
        <w:spacing w:after="0" w:line="257" w:lineRule="auto"/>
        <w:tabs>
          <w:tab w:leader="none" w:pos="2793" w:val="left"/>
        </w:tabs>
        <w:numPr>
          <w:ilvl w:val="0"/>
          <w:numId w:val="30"/>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i w:val="1"/>
          <w:iCs w:val="1"/>
          <w:color w:val="auto"/>
        </w:rPr>
        <w:t xml:space="preserve">” </w:t>
      </w:r>
      <w:r>
        <w:rPr>
          <w:rFonts w:ascii="Arial" w:cs="Arial" w:eastAsia="Arial" w:hAnsi="Arial"/>
          <w:sz w:val="21"/>
          <w:szCs w:val="21"/>
          <w:color w:val="auto"/>
        </w:rPr>
        <w:t>means, unless such term or an equivalent term is otherwise defined with respect to an</w:t>
      </w:r>
      <w:r>
        <w:rPr>
          <w:rFonts w:ascii="Arial" w:cs="Arial" w:eastAsia="Arial" w:hAnsi="Arial"/>
          <w:sz w:val="21"/>
          <w:szCs w:val="21"/>
          <w:i w:val="1"/>
          <w:iCs w:val="1"/>
          <w:color w:val="auto"/>
        </w:rPr>
        <w:t xml:space="preserve"> </w:t>
      </w:r>
      <w:r>
        <w:rPr>
          <w:rFonts w:ascii="Arial" w:cs="Arial" w:eastAsia="Arial" w:hAnsi="Arial"/>
          <w:sz w:val="21"/>
          <w:szCs w:val="21"/>
          <w:color w:val="auto"/>
        </w:rPr>
        <w:t>Award by the Participant’s Award Agreement or by a written contract of employment or service,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a Participating Company.</w:t>
      </w:r>
    </w:p>
    <w:p>
      <w:pPr>
        <w:spacing w:after="0" w:line="226" w:lineRule="exact"/>
        <w:rPr>
          <w:rFonts w:ascii="Arial" w:cs="Arial" w:eastAsia="Arial" w:hAnsi="Arial"/>
          <w:sz w:val="21"/>
          <w:szCs w:val="21"/>
          <w:color w:val="auto"/>
        </w:rPr>
      </w:pPr>
    </w:p>
    <w:p>
      <w:pPr>
        <w:ind w:left="-40" w:firstLine="1953"/>
        <w:spacing w:after="0" w:line="253" w:lineRule="auto"/>
        <w:tabs>
          <w:tab w:leader="none" w:pos="2769" w:val="left"/>
        </w:tabs>
        <w:numPr>
          <w:ilvl w:val="0"/>
          <w:numId w:val="3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i w:val="1"/>
          <w:iCs w:val="1"/>
          <w:color w:val="auto"/>
        </w:rPr>
        <w:t xml:space="preserve">” </w:t>
      </w:r>
      <w:r>
        <w:rPr>
          <w:rFonts w:ascii="Arial" w:cs="Arial" w:eastAsia="Arial" w:hAnsi="Arial"/>
          <w:sz w:val="22"/>
          <w:szCs w:val="22"/>
          <w:color w:val="auto"/>
        </w:rPr>
        <w:t>means, unless such term or an equivalent term is otherwise defined with</w:t>
      </w:r>
      <w:r>
        <w:rPr>
          <w:rFonts w:ascii="Arial" w:cs="Arial" w:eastAsia="Arial" w:hAnsi="Arial"/>
          <w:sz w:val="22"/>
          <w:szCs w:val="22"/>
          <w:i w:val="1"/>
          <w:iCs w:val="1"/>
          <w:color w:val="auto"/>
        </w:rPr>
        <w:t xml:space="preserve"> </w:t>
      </w:r>
      <w:r>
        <w:rPr>
          <w:rFonts w:ascii="Arial" w:cs="Arial" w:eastAsia="Arial" w:hAnsi="Arial"/>
          <w:sz w:val="22"/>
          <w:szCs w:val="22"/>
          <w:color w:val="auto"/>
        </w:rPr>
        <w:t>respect to an Award by the Participant’s Award Agreement or by a written contract of employment or service, the occurrence of any of the following:</w:t>
      </w:r>
    </w:p>
    <w:p>
      <w:pPr>
        <w:spacing w:after="0" w:line="226" w:lineRule="exact"/>
        <w:rPr>
          <w:sz w:val="20"/>
          <w:szCs w:val="20"/>
          <w:color w:val="auto"/>
        </w:rPr>
      </w:pPr>
    </w:p>
    <w:p>
      <w:pPr>
        <w:ind w:left="-40" w:right="260" w:firstLine="2601"/>
        <w:spacing w:after="0" w:line="263" w:lineRule="auto"/>
        <w:tabs>
          <w:tab w:leader="none" w:pos="2973"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“person” (as such term is used in Sections 13(d) and 14(d) of the Exchange Act) becomes the “beneficial owner” (as defined in Rule 13d-3</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A- 2</w:t>
      </w:r>
    </w:p>
    <w:p>
      <w:pPr>
        <w:sectPr>
          <w:pgSz w:w="11900" w:h="16838" w:orient="portrait"/>
          <w:cols w:equalWidth="0" w:num="1">
            <w:col w:w="11360"/>
          </w:cols>
          <w:pgMar w:left="280" w:top="591" w:right="259" w:bottom="1440" w:gutter="0" w:footer="0" w:header="0"/>
        </w:sectPr>
      </w:pPr>
    </w:p>
    <w:bookmarkStart w:id="36" w:name="page37"/>
    <w:bookmarkEnd w:id="36"/>
    <w:p>
      <w:pPr>
        <w:ind w:right="80"/>
        <w:spacing w:after="0" w:line="290" w:lineRule="auto"/>
        <w:rPr>
          <w:sz w:val="20"/>
          <w:szCs w:val="20"/>
          <w:color w:val="auto"/>
        </w:rPr>
      </w:pPr>
      <w:r>
        <w:rPr>
          <w:rFonts w:ascii="Arial" w:cs="Arial" w:eastAsia="Arial" w:hAnsi="Arial"/>
          <w:sz w:val="19"/>
          <w:szCs w:val="19"/>
          <w:color w:val="auto"/>
        </w:rPr>
        <w:t>promulgated under the Exchange Act), directly or indirectly, of securities of the Company representing more than fifty percent (50%) of the total combined voting power of the Company’s then-outstanding securities entitled to vote generally in the election of Directors; provided, however, that the following acquisitions shall not constitute a Change in Control: (1) an acquisition by any such person who on the Third Restatement Effective Date is the beneficial owner of more than fifty percent (50%) of such voting power, (2) any acquisition directly from the Company, including, without limitation, a public offering of securities, (3) any acquisition by the Company, (4) any acquisition by a trustee or other fiduciary under an employee benefit plan of a Participating Company or (5) any acquisition by an entity owned directly or indirectly by the stockholders of the Company in substantially the same proportions as their ownership of the voting securities of the Company; or</w:t>
      </w:r>
    </w:p>
    <w:p>
      <w:pPr>
        <w:spacing w:after="0" w:line="197" w:lineRule="exact"/>
        <w:rPr>
          <w:sz w:val="20"/>
          <w:szCs w:val="20"/>
          <w:color w:val="auto"/>
        </w:rPr>
      </w:pPr>
    </w:p>
    <w:p>
      <w:pPr>
        <w:ind w:left="3080" w:hanging="479"/>
        <w:spacing w:after="0"/>
        <w:tabs>
          <w:tab w:leader="none" w:pos="30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 Ownership Change Event or series of related Ownership Change Events (collectively, a</w:t>
      </w:r>
    </w:p>
    <w:p>
      <w:pPr>
        <w:spacing w:after="0" w:line="56" w:lineRule="exact"/>
        <w:rPr>
          <w:sz w:val="20"/>
          <w:szCs w:val="20"/>
          <w:color w:val="auto"/>
        </w:rPr>
      </w:pPr>
    </w:p>
    <w:p>
      <w:pPr>
        <w:ind w:right="60"/>
        <w:spacing w:after="0" w:line="295"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Transaction</w:t>
      </w:r>
      <w:r>
        <w:rPr>
          <w:rFonts w:ascii="Arial" w:cs="Arial" w:eastAsia="Arial" w:hAnsi="Arial"/>
          <w:sz w:val="19"/>
          <w:szCs w:val="19"/>
          <w:i w:val="1"/>
          <w:iCs w:val="1"/>
          <w:color w:val="auto"/>
        </w:rPr>
        <w:t>”</w:t>
      </w:r>
      <w:r>
        <w:rPr>
          <w:rFonts w:ascii="Arial" w:cs="Arial" w:eastAsia="Arial" w:hAnsi="Arial"/>
          <w:sz w:val="19"/>
          <w:szCs w:val="19"/>
          <w:color w:val="auto"/>
        </w:rPr>
        <w:t>) in which the stockholders of the Company immediately before the Transaction do not retain immediately after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Transaction direct or indirect beneficial ownership of more than fifty percent (50%) of the total combined voting power of the outstanding securities entitled to vote generally in the election of Directors or, in the case of an Ownership Change Event described in Section 2.1(z)(iii), the entity to which the assets of the Company were transferred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Transferee</w:t>
      </w:r>
      <w:r>
        <w:rPr>
          <w:rFonts w:ascii="Arial" w:cs="Arial" w:eastAsia="Arial" w:hAnsi="Arial"/>
          <w:sz w:val="19"/>
          <w:szCs w:val="19"/>
          <w:i w:val="1"/>
          <w:iCs w:val="1"/>
          <w:color w:val="auto"/>
        </w:rPr>
        <w:t>”</w:t>
      </w:r>
      <w:r>
        <w:rPr>
          <w:rFonts w:ascii="Arial" w:cs="Arial" w:eastAsia="Arial" w:hAnsi="Arial"/>
          <w:sz w:val="19"/>
          <w:szCs w:val="19"/>
          <w:color w:val="auto"/>
        </w:rPr>
        <w:t>), as the case may be;</w:t>
      </w:r>
    </w:p>
    <w:p>
      <w:pPr>
        <w:spacing w:after="0" w:line="191" w:lineRule="exact"/>
        <w:rPr>
          <w:sz w:val="20"/>
          <w:szCs w:val="20"/>
          <w:color w:val="auto"/>
        </w:rPr>
      </w:pPr>
    </w:p>
    <w:p>
      <w:pPr>
        <w:ind w:right="160"/>
        <w:spacing w:after="0" w:line="271" w:lineRule="auto"/>
        <w:rPr>
          <w:sz w:val="20"/>
          <w:szCs w:val="20"/>
          <w:color w:val="auto"/>
        </w:rPr>
      </w:pPr>
      <w:r>
        <w:rPr>
          <w:rFonts w:ascii="Arial" w:cs="Arial" w:eastAsia="Arial" w:hAnsi="Arial"/>
          <w:sz w:val="21"/>
          <w:szCs w:val="21"/>
          <w:color w:val="auto"/>
        </w:rPr>
        <w:t>provided, however, that a Change in Control shall be deemed not to include a transaction described in subsections (i) or (ii) of this Section 2.1(f) in which a majority of the members of the board of directors of the continuing, surviving or successor entity, or parent thereof, immediately after such transaction is comprised of Incumbent Directors.</w:t>
      </w:r>
    </w:p>
    <w:p>
      <w:pPr>
        <w:spacing w:after="0" w:line="208"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have the right to determine whether multiple sales or exchanges of the voting securities of the Company or multiple Ownership Change Events are related, and its determination shall be final, binding and conclusive.</w:t>
      </w:r>
    </w:p>
    <w:p>
      <w:pPr>
        <w:spacing w:after="0" w:line="147"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Notwithstanding the foregoing,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w:t>
      </w:r>
    </w:p>
    <w:p>
      <w:pPr>
        <w:spacing w:after="0" w:line="176" w:lineRule="exact"/>
        <w:rPr>
          <w:sz w:val="20"/>
          <w:szCs w:val="20"/>
          <w:color w:val="auto"/>
        </w:rPr>
      </w:pPr>
    </w:p>
    <w:p>
      <w:pPr>
        <w:ind w:right="80" w:firstLine="1953"/>
        <w:spacing w:after="0" w:line="263" w:lineRule="auto"/>
        <w:tabs>
          <w:tab w:leader="none" w:pos="2845"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Internal Revenue Code of 1986, as amended, and any applicable regulations or</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administrative guidelines promulgated thereunder.</w:t>
      </w:r>
    </w:p>
    <w:p>
      <w:pPr>
        <w:spacing w:after="0" w:line="215" w:lineRule="exact"/>
        <w:rPr>
          <w:rFonts w:ascii="Arial" w:cs="Arial" w:eastAsia="Arial" w:hAnsi="Arial"/>
          <w:sz w:val="22"/>
          <w:szCs w:val="22"/>
          <w:color w:val="auto"/>
        </w:rPr>
      </w:pPr>
    </w:p>
    <w:p>
      <w:pPr>
        <w:jc w:val="both"/>
        <w:ind w:right="40" w:firstLine="1953"/>
        <w:spacing w:after="0" w:line="312" w:lineRule="auto"/>
        <w:tabs>
          <w:tab w:leader="none" w:pos="2845" w:val="left"/>
        </w:tabs>
        <w:numPr>
          <w:ilvl w:val="0"/>
          <w:numId w:val="33"/>
        </w:numPr>
        <w:rPr>
          <w:rFonts w:ascii="Arial" w:cs="Arial" w:eastAsia="Arial" w:hAnsi="Arial"/>
          <w:sz w:val="19"/>
          <w:szCs w:val="19"/>
          <w:i w:val="1"/>
          <w:iCs w:val="1"/>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Compensation Committee and such other committee or subcommittee of</w:t>
      </w:r>
      <w:r>
        <w:rPr>
          <w:rFonts w:ascii="Arial" w:cs="Arial" w:eastAsia="Arial" w:hAnsi="Arial"/>
          <w:sz w:val="19"/>
          <w:szCs w:val="19"/>
          <w:i w:val="1"/>
          <w:iCs w:val="1"/>
          <w:color w:val="auto"/>
        </w:rPr>
        <w:t xml:space="preserve"> </w:t>
      </w:r>
      <w:r>
        <w:rPr>
          <w:rFonts w:ascii="Arial" w:cs="Arial" w:eastAsia="Arial" w:hAnsi="Arial"/>
          <w:sz w:val="19"/>
          <w:szCs w:val="19"/>
          <w:color w:val="auto"/>
        </w:rPr>
        <w:t>the Board, if any, duly appointed to administer the Plan and having such powers in each instance as shall be specified by the Board. If, at any time, there is no committee of the Board then authorized or properly constituted to administer the Plan,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A- 3</w:t>
      </w:r>
    </w:p>
    <w:p>
      <w:pPr>
        <w:sectPr>
          <w:pgSz w:w="11900" w:h="16838" w:orient="portrait"/>
          <w:cols w:equalWidth="0" w:num="1">
            <w:col w:w="11420"/>
          </w:cols>
          <w:pgMar w:left="240" w:top="591" w:right="239" w:bottom="1440" w:gutter="0" w:footer="0" w:header="0"/>
        </w:sectPr>
      </w:pPr>
    </w:p>
    <w:bookmarkStart w:id="37" w:name="page38"/>
    <w:bookmarkEnd w:id="37"/>
    <w:p>
      <w:pPr>
        <w:ind w:right="140"/>
        <w:spacing w:after="0" w:line="263" w:lineRule="auto"/>
        <w:rPr>
          <w:sz w:val="20"/>
          <w:szCs w:val="20"/>
          <w:color w:val="auto"/>
        </w:rPr>
      </w:pPr>
      <w:r>
        <w:rPr>
          <w:rFonts w:ascii="Arial" w:cs="Arial" w:eastAsia="Arial" w:hAnsi="Arial"/>
          <w:sz w:val="22"/>
          <w:szCs w:val="22"/>
          <w:color w:val="auto"/>
        </w:rPr>
        <w:t>Board shall exercise all of the powers of the Committee granted herein, and, in any event, the Board may in its discretion exercise any or all of such powers.</w:t>
      </w:r>
    </w:p>
    <w:p>
      <w:pPr>
        <w:spacing w:after="0" w:line="215" w:lineRule="exact"/>
        <w:rPr>
          <w:sz w:val="20"/>
          <w:szCs w:val="20"/>
          <w:color w:val="auto"/>
        </w:rPr>
      </w:pPr>
    </w:p>
    <w:p>
      <w:pPr>
        <w:ind w:left="2800" w:hanging="847"/>
        <w:spacing w:after="0"/>
        <w:tabs>
          <w:tab w:leader="none" w:pos="2800"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i w:val="1"/>
          <w:iCs w:val="1"/>
          <w:color w:val="auto"/>
        </w:rPr>
        <w:t xml:space="preserve">” </w:t>
      </w:r>
      <w:r>
        <w:rPr>
          <w:rFonts w:ascii="Arial" w:cs="Arial" w:eastAsia="Arial" w:hAnsi="Arial"/>
          <w:sz w:val="19"/>
          <w:szCs w:val="19"/>
          <w:color w:val="auto"/>
        </w:rPr>
        <w:t>means Globalstar, Inc., a Delaware corporation, or any successor corporation thereto.</w:t>
      </w:r>
    </w:p>
    <w:p>
      <w:pPr>
        <w:spacing w:after="0" w:line="294" w:lineRule="exact"/>
        <w:rPr>
          <w:rFonts w:ascii="Arial" w:cs="Arial" w:eastAsia="Arial" w:hAnsi="Arial"/>
          <w:sz w:val="19"/>
          <w:szCs w:val="19"/>
          <w:color w:val="auto"/>
        </w:rPr>
      </w:pPr>
    </w:p>
    <w:p>
      <w:pPr>
        <w:ind w:right="20" w:firstLine="1953"/>
        <w:spacing w:after="0" w:line="302" w:lineRule="auto"/>
        <w:tabs>
          <w:tab w:leader="none" w:pos="2797"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Consultant</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person engaged to provide consulting or advisory services (other than as an</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 or a member of the Board)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a Form S-8 Registration Statement under the Securities Act.</w:t>
      </w:r>
    </w:p>
    <w:p>
      <w:pPr>
        <w:spacing w:after="0" w:line="183" w:lineRule="exact"/>
        <w:rPr>
          <w:rFonts w:ascii="Arial" w:cs="Arial" w:eastAsia="Arial" w:hAnsi="Arial"/>
          <w:sz w:val="19"/>
          <w:szCs w:val="19"/>
          <w:color w:val="auto"/>
        </w:rPr>
      </w:pPr>
    </w:p>
    <w:p>
      <w:pPr>
        <w:ind w:firstLine="1953"/>
        <w:spacing w:after="0" w:line="263" w:lineRule="auto"/>
        <w:tabs>
          <w:tab w:leader="none" w:pos="2845" w:val="left"/>
        </w:tabs>
        <w:numPr>
          <w:ilvl w:val="0"/>
          <w:numId w:val="3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Covered Employee</w:t>
      </w:r>
      <w:r>
        <w:rPr>
          <w:rFonts w:ascii="Arial" w:cs="Arial" w:eastAsia="Arial" w:hAnsi="Arial"/>
          <w:sz w:val="21"/>
          <w:szCs w:val="21"/>
          <w:i w:val="1"/>
          <w:iCs w:val="1"/>
          <w:color w:val="auto"/>
        </w:rPr>
        <w:t>”</w:t>
      </w:r>
      <w:r>
        <w:rPr>
          <w:rFonts w:ascii="Arial" w:cs="Arial" w:eastAsia="Arial" w:hAnsi="Arial"/>
          <w:sz w:val="21"/>
          <w:szCs w:val="21"/>
          <w:color w:val="auto"/>
        </w:rPr>
        <w:t xml:space="preserve"> means, at any time the Plan is subject to 162(m), any Employee who is or may become a “covered employee” as defined in Section 162(m), or any successor statute, and who is designated, either as an individual Employee or a member of a class of Employees, by the Committee no later than (i) the date ninety (90) days after the beginning of the Performance Period, or (ii) the date on which twenty-five percent (25%) of the Performance Period has elapsed, as a “Covered Employee” under this Plan for such applicable Performance Period.</w:t>
      </w:r>
    </w:p>
    <w:p>
      <w:pPr>
        <w:spacing w:after="0" w:line="216" w:lineRule="exact"/>
        <w:rPr>
          <w:rFonts w:ascii="Arial" w:cs="Arial" w:eastAsia="Arial" w:hAnsi="Arial"/>
          <w:sz w:val="21"/>
          <w:szCs w:val="21"/>
          <w:color w:val="auto"/>
        </w:rPr>
      </w:pPr>
    </w:p>
    <w:p>
      <w:pPr>
        <w:ind w:left="2800" w:hanging="847"/>
        <w:spacing w:after="0"/>
        <w:tabs>
          <w:tab w:leader="none" w:pos="2800"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member of the Board.</w:t>
      </w:r>
    </w:p>
    <w:p>
      <w:pPr>
        <w:spacing w:after="0" w:line="260" w:lineRule="exact"/>
        <w:rPr>
          <w:rFonts w:ascii="Arial" w:cs="Arial" w:eastAsia="Arial" w:hAnsi="Arial"/>
          <w:sz w:val="22"/>
          <w:szCs w:val="22"/>
          <w:color w:val="auto"/>
        </w:rPr>
      </w:pPr>
    </w:p>
    <w:p>
      <w:pPr>
        <w:ind w:left="2920" w:hanging="967"/>
        <w:spacing w:after="0"/>
        <w:tabs>
          <w:tab w:leader="none" w:pos="2920"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Disability</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permanent and total disability of the Participant, within the meaning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22(e)(3) of the Code.</w:t>
      </w:r>
    </w:p>
    <w:p>
      <w:pPr>
        <w:spacing w:after="0" w:line="242" w:lineRule="exact"/>
        <w:rPr>
          <w:rFonts w:ascii="Arial" w:cs="Arial" w:eastAsia="Arial" w:hAnsi="Arial"/>
          <w:sz w:val="19"/>
          <w:szCs w:val="19"/>
          <w:color w:val="auto"/>
        </w:rPr>
      </w:pPr>
    </w:p>
    <w:p>
      <w:pPr>
        <w:jc w:val="both"/>
        <w:ind w:right="200" w:firstLine="1953"/>
        <w:spacing w:after="0" w:line="253" w:lineRule="auto"/>
        <w:tabs>
          <w:tab w:leader="none" w:pos="2845"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Dividend Equivalent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credit, made at the discretion of the Committee or as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by the Plan, to the account of a Participant in an amount equal to the cash dividends paid on one share of Stock for each share of Stock represented by an Award held by such Participant.</w:t>
      </w:r>
    </w:p>
    <w:p>
      <w:pPr>
        <w:spacing w:after="0" w:line="226" w:lineRule="exact"/>
        <w:rPr>
          <w:rFonts w:ascii="Arial" w:cs="Arial" w:eastAsia="Arial" w:hAnsi="Arial"/>
          <w:sz w:val="22"/>
          <w:szCs w:val="22"/>
          <w:color w:val="auto"/>
        </w:rPr>
      </w:pPr>
    </w:p>
    <w:p>
      <w:pPr>
        <w:ind w:right="140" w:firstLine="1953"/>
        <w:spacing w:after="0" w:line="288" w:lineRule="auto"/>
        <w:tabs>
          <w:tab w:leader="none" w:pos="2845"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any person treated as an employee (including an Officer or a member of the</w:t>
      </w:r>
      <w:r>
        <w:rPr>
          <w:rFonts w:ascii="Arial" w:cs="Arial" w:eastAsia="Arial" w:hAnsi="Arial"/>
          <w:sz w:val="19"/>
          <w:szCs w:val="19"/>
          <w:i w:val="1"/>
          <w:iCs w:val="1"/>
          <w:color w:val="auto"/>
        </w:rPr>
        <w:t xml:space="preserve"> </w:t>
      </w:r>
      <w:r>
        <w:rPr>
          <w:rFonts w:ascii="Arial" w:cs="Arial" w:eastAsia="Arial" w:hAnsi="Arial"/>
          <w:sz w:val="19"/>
          <w:szCs w:val="19"/>
          <w:color w:val="auto"/>
        </w:rPr>
        <w:t>Board who is also treated as an employee) in the records of a Participating Company and, with respect to any Incentive Stock Option granted to such person, who is an employee for purposes of Section 422 of the Code; provided, however, that neither service as a member of the Board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200" w:lineRule="exact"/>
        <w:rPr>
          <w:rFonts w:ascii="Arial" w:cs="Arial" w:eastAsia="Arial" w:hAnsi="Arial"/>
          <w:sz w:val="19"/>
          <w:szCs w:val="19"/>
          <w:color w:val="auto"/>
        </w:rPr>
      </w:pPr>
    </w:p>
    <w:p>
      <w:pPr>
        <w:ind w:left="2860" w:hanging="907"/>
        <w:spacing w:after="0"/>
        <w:tabs>
          <w:tab w:leader="none" w:pos="2860"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Securities Exchange Act of 1934, as amended.</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A- 4</w:t>
      </w:r>
    </w:p>
    <w:p>
      <w:pPr>
        <w:sectPr>
          <w:pgSz w:w="11900" w:h="16838" w:orient="portrait"/>
          <w:cols w:equalWidth="0" w:num="1">
            <w:col w:w="11380"/>
          </w:cols>
          <w:pgMar w:left="240" w:top="591" w:right="279" w:bottom="1440" w:gutter="0" w:footer="0" w:header="0"/>
        </w:sectPr>
      </w:pPr>
    </w:p>
    <w:bookmarkStart w:id="38" w:name="page39"/>
    <w:bookmarkEnd w:id="38"/>
    <w:p>
      <w:pPr>
        <w:ind w:left="-40" w:right="120" w:firstLine="1953"/>
        <w:spacing w:after="0" w:line="253" w:lineRule="auto"/>
        <w:tabs>
          <w:tab w:leader="none" w:pos="2805"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i w:val="1"/>
          <w:iCs w:val="1"/>
          <w:color w:val="auto"/>
        </w:rPr>
        <w:t xml:space="preserve">” </w:t>
      </w:r>
      <w:r>
        <w:rPr>
          <w:rFonts w:ascii="Arial" w:cs="Arial" w:eastAsia="Arial" w:hAnsi="Arial"/>
          <w:sz w:val="22"/>
          <w:szCs w:val="22"/>
          <w:color w:val="auto"/>
        </w:rPr>
        <w:t>means, as of any date, the value of a share of Stock or other property as</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determined by the Committee, in its discretion, or by the Company, in its discretion, if such determination is expressly allocated to the Company herein, subject to the following:</w:t>
      </w:r>
    </w:p>
    <w:p>
      <w:pPr>
        <w:spacing w:after="0" w:line="226" w:lineRule="exact"/>
        <w:rPr>
          <w:rFonts w:ascii="Arial" w:cs="Arial" w:eastAsia="Arial" w:hAnsi="Arial"/>
          <w:sz w:val="22"/>
          <w:szCs w:val="22"/>
          <w:color w:val="auto"/>
        </w:rPr>
      </w:pPr>
    </w:p>
    <w:p>
      <w:pPr>
        <w:ind w:left="-40" w:firstLine="2601"/>
        <w:spacing w:after="0" w:line="290" w:lineRule="auto"/>
        <w:tabs>
          <w:tab w:leader="none" w:pos="3405" w:val="left"/>
        </w:tabs>
        <w:numPr>
          <w:ilvl w:val="1"/>
          <w:numId w:val="35"/>
        </w:numPr>
        <w:rPr>
          <w:rFonts w:ascii="Arial" w:cs="Arial" w:eastAsia="Arial" w:hAnsi="Arial"/>
          <w:sz w:val="19"/>
          <w:szCs w:val="19"/>
          <w:color w:val="auto"/>
        </w:rPr>
      </w:pPr>
      <w:r>
        <w:rPr>
          <w:rFonts w:ascii="Arial" w:cs="Arial" w:eastAsia="Arial" w:hAnsi="Arial"/>
          <w:sz w:val="19"/>
          <w:szCs w:val="19"/>
          <w:color w:val="auto"/>
        </w:rPr>
        <w:t xml:space="preserve">Except as otherwise determined by the Committee, 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Nasdaq National Market, The Nasdaq SmallCap Market or such other national or regional securities exchange or market system constituting the primary market for the Stock,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Committee, in its discretion.</w:t>
      </w:r>
    </w:p>
    <w:p>
      <w:pPr>
        <w:spacing w:after="0" w:line="197" w:lineRule="exact"/>
        <w:rPr>
          <w:rFonts w:ascii="Arial" w:cs="Arial" w:eastAsia="Arial" w:hAnsi="Arial"/>
          <w:sz w:val="19"/>
          <w:szCs w:val="19"/>
          <w:color w:val="auto"/>
        </w:rPr>
      </w:pPr>
    </w:p>
    <w:p>
      <w:pPr>
        <w:ind w:left="-40" w:right="40" w:firstLine="2601"/>
        <w:spacing w:after="0" w:line="288" w:lineRule="auto"/>
        <w:tabs>
          <w:tab w:leader="none" w:pos="3465" w:val="left"/>
        </w:tabs>
        <w:numPr>
          <w:ilvl w:val="1"/>
          <w:numId w:val="35"/>
        </w:numPr>
        <w:rPr>
          <w:rFonts w:ascii="Arial" w:cs="Arial" w:eastAsia="Arial" w:hAnsi="Arial"/>
          <w:sz w:val="19"/>
          <w:szCs w:val="19"/>
          <w:color w:val="auto"/>
        </w:rPr>
      </w:pPr>
      <w:r>
        <w:rPr>
          <w:rFonts w:ascii="Arial" w:cs="Arial" w:eastAsia="Arial" w:hAnsi="Arial"/>
          <w:sz w:val="19"/>
          <w:szCs w:val="19"/>
          <w:color w:val="auto"/>
        </w:rPr>
        <w:t>Notwithstanding the foregoing, the Committee may, in its discretion, determine the Fair Market Value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market system and consistently applied, or on any other basis consistent with the requirements of Section 409A. The Committee may also determine the Fair Market Value upon the average selling price of the Stock during a specified period that is within thirty (30) days before or thirty (30) days after such date, provided that, with respect to the grant of an Option or SAR, the commitment to grant such Award based on such valuation method must be irrevocable before the beginning of the specified period and such valuation method must be used consistently for grants of Options and SARs under the same and substantially similar programs. The Committee may vary its method of determination of the Fair Market Value as provided in this Section for different purposes under the Plan to the extent consistent with the requirements of Section 409A.</w:t>
      </w:r>
    </w:p>
    <w:p>
      <w:pPr>
        <w:spacing w:after="0" w:line="195" w:lineRule="exact"/>
        <w:rPr>
          <w:rFonts w:ascii="Arial" w:cs="Arial" w:eastAsia="Arial" w:hAnsi="Arial"/>
          <w:sz w:val="19"/>
          <w:szCs w:val="19"/>
          <w:color w:val="auto"/>
        </w:rPr>
      </w:pPr>
    </w:p>
    <w:p>
      <w:pPr>
        <w:ind w:left="-40" w:right="180" w:firstLine="2601"/>
        <w:spacing w:after="0" w:line="250" w:lineRule="auto"/>
        <w:tabs>
          <w:tab w:leader="none" w:pos="3525" w:val="left"/>
        </w:tabs>
        <w:numPr>
          <w:ilvl w:val="1"/>
          <w:numId w:val="35"/>
        </w:numPr>
        <w:rPr>
          <w:rFonts w:ascii="Arial" w:cs="Arial" w:eastAsia="Arial" w:hAnsi="Arial"/>
          <w:sz w:val="22"/>
          <w:szCs w:val="22"/>
          <w:color w:val="auto"/>
        </w:rPr>
      </w:pPr>
      <w:r>
        <w:rPr>
          <w:rFonts w:ascii="Arial" w:cs="Arial" w:eastAsia="Arial" w:hAnsi="Arial"/>
          <w:sz w:val="22"/>
          <w:szCs w:val="22"/>
          <w:color w:val="auto"/>
        </w:rPr>
        <w:t>If, on such date, the Stock is not listed on a national or regional securities exchange or market system, the Fair Market Value of a share of Stock shall be as determined by the Committee in good faith without regard to any restriction other than a restriction which, by its terms, will never lapse, and in a manner consistent with the requirements of Section 409A.</w:t>
      </w:r>
    </w:p>
    <w:p>
      <w:pPr>
        <w:spacing w:after="0" w:line="228" w:lineRule="exact"/>
        <w:rPr>
          <w:rFonts w:ascii="Arial" w:cs="Arial" w:eastAsia="Arial" w:hAnsi="Arial"/>
          <w:sz w:val="22"/>
          <w:szCs w:val="22"/>
          <w:color w:val="auto"/>
        </w:rPr>
      </w:pPr>
    </w:p>
    <w:p>
      <w:pPr>
        <w:ind w:left="-40" w:right="180" w:firstLine="1953"/>
        <w:spacing w:after="0" w:line="263" w:lineRule="auto"/>
        <w:tabs>
          <w:tab w:leader="none" w:pos="2769"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Incentive Stock Option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Option intended to be (as set forth in the Award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and which qualifies as an incentive stock option within the meaning of Section 422(b) of the Code.</w:t>
      </w:r>
    </w:p>
    <w:p>
      <w:pPr>
        <w:spacing w:after="0" w:line="215" w:lineRule="exact"/>
        <w:rPr>
          <w:rFonts w:ascii="Arial" w:cs="Arial" w:eastAsia="Arial" w:hAnsi="Arial"/>
          <w:sz w:val="22"/>
          <w:szCs w:val="22"/>
          <w:color w:val="auto"/>
        </w:rPr>
      </w:pPr>
    </w:p>
    <w:p>
      <w:pPr>
        <w:ind w:left="-40" w:right="20" w:firstLine="1953"/>
        <w:spacing w:after="0" w:line="265" w:lineRule="auto"/>
        <w:tabs>
          <w:tab w:leader="none" w:pos="2781"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Incumbent Director</w:t>
      </w:r>
      <w:r>
        <w:rPr>
          <w:rFonts w:ascii="Arial" w:cs="Arial" w:eastAsia="Arial" w:hAnsi="Arial"/>
          <w:sz w:val="21"/>
          <w:szCs w:val="21"/>
          <w:i w:val="1"/>
          <w:iCs w:val="1"/>
          <w:color w:val="auto"/>
        </w:rPr>
        <w:t xml:space="preserve">” </w:t>
      </w:r>
      <w:r>
        <w:rPr>
          <w:rFonts w:ascii="Arial" w:cs="Arial" w:eastAsia="Arial" w:hAnsi="Arial"/>
          <w:sz w:val="21"/>
          <w:szCs w:val="21"/>
          <w:color w:val="auto"/>
        </w:rPr>
        <w:t>means a director who either (i) is a member of the Board as of the Third</w:t>
      </w:r>
      <w:r>
        <w:rPr>
          <w:rFonts w:ascii="Arial" w:cs="Arial" w:eastAsia="Arial" w:hAnsi="Arial"/>
          <w:sz w:val="21"/>
          <w:szCs w:val="21"/>
          <w:i w:val="1"/>
          <w:iCs w:val="1"/>
          <w:color w:val="auto"/>
        </w:rPr>
        <w:t xml:space="preserve"> </w:t>
      </w:r>
      <w:r>
        <w:rPr>
          <w:rFonts w:ascii="Arial" w:cs="Arial" w:eastAsia="Arial" w:hAnsi="Arial"/>
          <w:sz w:val="21"/>
          <w:szCs w:val="21"/>
          <w:color w:val="auto"/>
        </w:rPr>
        <w:t>Restatement Effective Date or (ii) is elected, or nominated for election, to the Board with the affirmative votes of at least a majority of the Incumbent Directors at the time of such election or nomination, but who was not elected or nominated in connection with an actual or threatened proxy contest relating to the election of directors of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A- 5</w:t>
      </w:r>
    </w:p>
    <w:p>
      <w:pPr>
        <w:sectPr>
          <w:pgSz w:w="11900" w:h="16838" w:orient="portrait"/>
          <w:cols w:equalWidth="0" w:num="1">
            <w:col w:w="11360"/>
          </w:cols>
          <w:pgMar w:left="280" w:top="591" w:right="259" w:bottom="1440" w:gutter="0" w:footer="0" w:header="0"/>
        </w:sectPr>
      </w:pPr>
    </w:p>
    <w:bookmarkStart w:id="39" w:name="page40"/>
    <w:bookmarkEnd w:id="39"/>
    <w:p>
      <w:pPr>
        <w:ind w:right="120" w:firstLine="1953"/>
        <w:spacing w:after="0" w:line="263" w:lineRule="auto"/>
        <w:tabs>
          <w:tab w:leader="none" w:pos="2797"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Insider</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Officer, Director or any other person whose transactions in Stock are subject</w:t>
      </w:r>
      <w:r>
        <w:rPr>
          <w:rFonts w:ascii="Arial" w:cs="Arial" w:eastAsia="Arial" w:hAnsi="Arial"/>
          <w:sz w:val="22"/>
          <w:szCs w:val="22"/>
          <w:i w:val="1"/>
          <w:iCs w:val="1"/>
          <w:color w:val="auto"/>
        </w:rPr>
        <w:t xml:space="preserve"> </w:t>
      </w:r>
      <w:r>
        <w:rPr>
          <w:rFonts w:ascii="Arial" w:cs="Arial" w:eastAsia="Arial" w:hAnsi="Arial"/>
          <w:sz w:val="22"/>
          <w:szCs w:val="22"/>
          <w:color w:val="auto"/>
        </w:rPr>
        <w:t>to Section 16 of the Exchange Act.</w:t>
      </w:r>
    </w:p>
    <w:p>
      <w:pPr>
        <w:spacing w:after="0" w:line="215" w:lineRule="exact"/>
        <w:rPr>
          <w:rFonts w:ascii="Arial" w:cs="Arial" w:eastAsia="Arial" w:hAnsi="Arial"/>
          <w:sz w:val="22"/>
          <w:szCs w:val="22"/>
          <w:color w:val="auto"/>
        </w:rPr>
      </w:pPr>
    </w:p>
    <w:p>
      <w:pPr>
        <w:ind w:right="160" w:firstLine="1953"/>
        <w:spacing w:after="0" w:line="271" w:lineRule="auto"/>
        <w:tabs>
          <w:tab w:leader="none" w:pos="2845" w:val="left"/>
        </w:tabs>
        <w:numPr>
          <w:ilvl w:val="0"/>
          <w:numId w:val="36"/>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Insider Trading Policy</w:t>
      </w:r>
      <w:r>
        <w:rPr>
          <w:rFonts w:ascii="Arial" w:cs="Arial" w:eastAsia="Arial" w:hAnsi="Arial"/>
          <w:sz w:val="21"/>
          <w:szCs w:val="21"/>
          <w:i w:val="1"/>
          <w:iCs w:val="1"/>
          <w:color w:val="auto"/>
        </w:rPr>
        <w:t xml:space="preserve">” </w:t>
      </w:r>
      <w:r>
        <w:rPr>
          <w:rFonts w:ascii="Arial" w:cs="Arial" w:eastAsia="Arial" w:hAnsi="Arial"/>
          <w:sz w:val="21"/>
          <w:szCs w:val="21"/>
          <w:color w:val="auto"/>
        </w:rPr>
        <w:t>means the written policy of the Company pertaining to the purchase,</w:t>
      </w:r>
      <w:r>
        <w:rPr>
          <w:rFonts w:ascii="Arial" w:cs="Arial" w:eastAsia="Arial" w:hAnsi="Arial"/>
          <w:sz w:val="21"/>
          <w:szCs w:val="21"/>
          <w:i w:val="1"/>
          <w:iCs w:val="1"/>
          <w:color w:val="auto"/>
        </w:rPr>
        <w:t xml:space="preserve"> </w:t>
      </w:r>
      <w:r>
        <w:rPr>
          <w:rFonts w:ascii="Arial" w:cs="Arial" w:eastAsia="Arial" w:hAnsi="Arial"/>
          <w:sz w:val="21"/>
          <w:szCs w:val="21"/>
          <w:color w:val="auto"/>
        </w:rPr>
        <w:t>sale, transfer or other disposition of the Company’s equity securities by Directors, Officers, Employees or other service providers who may possess material, nonpublic information regarding the Company or its securities.</w:t>
      </w:r>
    </w:p>
    <w:p>
      <w:pPr>
        <w:spacing w:after="0" w:line="208" w:lineRule="exact"/>
        <w:rPr>
          <w:rFonts w:ascii="Arial" w:cs="Arial" w:eastAsia="Arial" w:hAnsi="Arial"/>
          <w:sz w:val="21"/>
          <w:szCs w:val="21"/>
          <w:color w:val="auto"/>
        </w:rPr>
      </w:pPr>
    </w:p>
    <w:p>
      <w:pPr>
        <w:ind w:right="120" w:firstLine="1953"/>
        <w:spacing w:after="0" w:line="263" w:lineRule="auto"/>
        <w:tabs>
          <w:tab w:leader="none" w:pos="2845" w:val="left"/>
        </w:tabs>
        <w:numPr>
          <w:ilvl w:val="0"/>
          <w:numId w:val="3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“Net-Exercise” </w:t>
      </w:r>
      <w:r>
        <w:rPr>
          <w:rFonts w:ascii="Arial" w:cs="Arial" w:eastAsia="Arial" w:hAnsi="Arial"/>
          <w:sz w:val="22"/>
          <w:szCs w:val="22"/>
          <w:color w:val="auto"/>
        </w:rPr>
        <w:t>means a procedure by which the Participant will be issued a number of shares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Stock determined in accordance with the following formula:</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 = X(A-B)/A, where</w:t>
      </w:r>
    </w:p>
    <w:p>
      <w:pPr>
        <w:spacing w:after="0" w:line="22"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“N” = the number of shares of Stock to be issued to the Participant upon exercise of the Option;</w:t>
      </w:r>
    </w:p>
    <w:p>
      <w:pPr>
        <w:spacing w:after="0" w:line="15" w:lineRule="exact"/>
        <w:rPr>
          <w:sz w:val="20"/>
          <w:szCs w:val="20"/>
          <w:color w:val="auto"/>
        </w:rPr>
      </w:pPr>
    </w:p>
    <w:p>
      <w:pPr>
        <w:ind w:left="2280"/>
        <w:spacing w:after="0" w:line="262" w:lineRule="auto"/>
        <w:rPr>
          <w:sz w:val="20"/>
          <w:szCs w:val="20"/>
          <w:color w:val="auto"/>
        </w:rPr>
      </w:pPr>
      <w:r>
        <w:rPr>
          <w:rFonts w:ascii="Arial" w:cs="Arial" w:eastAsia="Arial" w:hAnsi="Arial"/>
          <w:sz w:val="21"/>
          <w:szCs w:val="21"/>
          <w:color w:val="auto"/>
        </w:rPr>
        <w:t>“X” = the total number of shares with respect to which the Participant has elected to exercise the Option; “A” = the Fair Market Value of one (1) share of Stock determined on the exercise date; and “B” = the exercise price per share (as defined in the Participant’s Award Agreement)</w:t>
      </w:r>
    </w:p>
    <w:p>
      <w:pPr>
        <w:spacing w:after="0" w:line="218" w:lineRule="exact"/>
        <w:rPr>
          <w:sz w:val="20"/>
          <w:szCs w:val="20"/>
          <w:color w:val="auto"/>
        </w:rPr>
      </w:pPr>
    </w:p>
    <w:p>
      <w:pPr>
        <w:ind w:right="460" w:firstLine="1953"/>
        <w:spacing w:after="0" w:line="263" w:lineRule="auto"/>
        <w:tabs>
          <w:tab w:leader="none" w:pos="2893"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Option not intended to be (as set forth in the Award</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an incentive stock option within the meaning of Section 422(b) of the Code.</w:t>
      </w:r>
    </w:p>
    <w:p>
      <w:pPr>
        <w:spacing w:after="0" w:line="215" w:lineRule="exact"/>
        <w:rPr>
          <w:rFonts w:ascii="Arial" w:cs="Arial" w:eastAsia="Arial" w:hAnsi="Arial"/>
          <w:sz w:val="22"/>
          <w:szCs w:val="22"/>
          <w:color w:val="auto"/>
        </w:rPr>
      </w:pPr>
    </w:p>
    <w:p>
      <w:pPr>
        <w:ind w:left="2860" w:hanging="907"/>
        <w:spacing w:after="0"/>
        <w:tabs>
          <w:tab w:leader="none" w:pos="2860"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Officer</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person designated by the Board as an officer of the Company.</w:t>
      </w:r>
    </w:p>
    <w:p>
      <w:pPr>
        <w:spacing w:after="0" w:line="260" w:lineRule="exact"/>
        <w:rPr>
          <w:rFonts w:ascii="Arial" w:cs="Arial" w:eastAsia="Arial" w:hAnsi="Arial"/>
          <w:sz w:val="22"/>
          <w:szCs w:val="22"/>
          <w:color w:val="auto"/>
        </w:rPr>
      </w:pPr>
    </w:p>
    <w:p>
      <w:pPr>
        <w:ind w:left="2860" w:hanging="907"/>
        <w:spacing w:after="0"/>
        <w:tabs>
          <w:tab w:leader="none" w:pos="2860"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Option</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 Incentive Stock Option or a Nonstatutory Stock Option granted pursuant to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6.</w:t>
      </w:r>
    </w:p>
    <w:p>
      <w:pPr>
        <w:spacing w:after="0" w:line="242" w:lineRule="exact"/>
        <w:rPr>
          <w:rFonts w:ascii="Arial" w:cs="Arial" w:eastAsia="Arial" w:hAnsi="Arial"/>
          <w:sz w:val="19"/>
          <w:szCs w:val="19"/>
          <w:color w:val="auto"/>
        </w:rPr>
      </w:pPr>
    </w:p>
    <w:p>
      <w:pPr>
        <w:ind w:firstLine="1953"/>
        <w:spacing w:after="0" w:line="248" w:lineRule="auto"/>
        <w:tabs>
          <w:tab w:leader="none" w:pos="2833"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Ownership Change Event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occurrence of any of the following with respect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(i) the direct or indirect sale or exchange in a single or series of related transactions by the stockholders of the Company of more than fifty percent (50%) of the voting stock of the Company; (ii) a merger or consolidation in which the Company is a party; or (iii) the sale, exchange, or transfer of all or substantially all of the assets of the Company (other than a sale, exchange or transfer to one or more subsidiaries of the Company).</w:t>
      </w:r>
    </w:p>
    <w:p>
      <w:pPr>
        <w:spacing w:after="0" w:line="233" w:lineRule="exact"/>
        <w:rPr>
          <w:sz w:val="20"/>
          <w:szCs w:val="20"/>
          <w:color w:val="auto"/>
        </w:rPr>
      </w:pPr>
    </w:p>
    <w:p>
      <w:pPr>
        <w:ind w:right="400" w:firstLine="1953"/>
        <w:spacing w:after="0" w:line="263" w:lineRule="auto"/>
        <w:tabs>
          <w:tab w:leader="none" w:pos="2929"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Parent 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present or future “parent corporation” of the Company, as</w:t>
      </w:r>
      <w:r>
        <w:rPr>
          <w:rFonts w:ascii="Arial" w:cs="Arial" w:eastAsia="Arial" w:hAnsi="Arial"/>
          <w:sz w:val="22"/>
          <w:szCs w:val="22"/>
          <w:i w:val="1"/>
          <w:iCs w:val="1"/>
          <w:color w:val="auto"/>
        </w:rPr>
        <w:t xml:space="preserve"> </w:t>
      </w:r>
      <w:r>
        <w:rPr>
          <w:rFonts w:ascii="Arial" w:cs="Arial" w:eastAsia="Arial" w:hAnsi="Arial"/>
          <w:sz w:val="22"/>
          <w:szCs w:val="22"/>
          <w:color w:val="auto"/>
        </w:rPr>
        <w:t>defined in Section 424(e) of the Code.</w:t>
      </w:r>
    </w:p>
    <w:p>
      <w:pPr>
        <w:spacing w:after="0" w:line="215" w:lineRule="exact"/>
        <w:rPr>
          <w:rFonts w:ascii="Arial" w:cs="Arial" w:eastAsia="Arial" w:hAnsi="Arial"/>
          <w:sz w:val="22"/>
          <w:szCs w:val="22"/>
          <w:color w:val="auto"/>
        </w:rPr>
      </w:pPr>
    </w:p>
    <w:p>
      <w:pPr>
        <w:ind w:left="2520" w:hanging="567"/>
        <w:spacing w:after="0"/>
        <w:tabs>
          <w:tab w:leader="none" w:pos="2520"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eligible person who has been granted one or more Awards.</w:t>
      </w:r>
    </w:p>
    <w:p>
      <w:pPr>
        <w:spacing w:after="0" w:line="260" w:lineRule="exact"/>
        <w:rPr>
          <w:rFonts w:ascii="Arial" w:cs="Arial" w:eastAsia="Arial" w:hAnsi="Arial"/>
          <w:sz w:val="22"/>
          <w:szCs w:val="22"/>
          <w:color w:val="auto"/>
        </w:rPr>
      </w:pPr>
    </w:p>
    <w:p>
      <w:pPr>
        <w:ind w:left="2500" w:hanging="547"/>
        <w:spacing w:after="0"/>
        <w:tabs>
          <w:tab w:leader="none" w:pos="2500"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Participating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Company or any Parent Corporation, Subsidiary Corporation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Affiliate.</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A- 6</w:t>
      </w:r>
    </w:p>
    <w:p>
      <w:pPr>
        <w:sectPr>
          <w:pgSz w:w="11900" w:h="16838" w:orient="portrait"/>
          <w:cols w:equalWidth="0" w:num="1">
            <w:col w:w="11340"/>
          </w:cols>
          <w:pgMar w:left="240" w:top="847" w:right="319" w:bottom="1440" w:gutter="0" w:footer="0" w:header="0"/>
        </w:sectPr>
      </w:pPr>
    </w:p>
    <w:bookmarkStart w:id="40" w:name="page41"/>
    <w:bookmarkEnd w:id="40"/>
    <w:p>
      <w:pPr>
        <w:ind w:left="2520" w:hanging="567"/>
        <w:spacing w:after="0"/>
        <w:tabs>
          <w:tab w:leader="none" w:pos="2520"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Participating Company Group</w:t>
      </w:r>
      <w:r>
        <w:rPr>
          <w:rFonts w:ascii="Arial" w:cs="Arial" w:eastAsia="Arial" w:hAnsi="Arial"/>
          <w:sz w:val="19"/>
          <w:szCs w:val="19"/>
          <w:i w:val="1"/>
          <w:iCs w:val="1"/>
          <w:color w:val="auto"/>
        </w:rPr>
        <w:t xml:space="preserve">” </w:t>
      </w:r>
      <w:r>
        <w:rPr>
          <w:rFonts w:ascii="Arial" w:cs="Arial" w:eastAsia="Arial" w:hAnsi="Arial"/>
          <w:sz w:val="19"/>
          <w:szCs w:val="19"/>
          <w:color w:val="auto"/>
        </w:rPr>
        <w:t>means, at any point in time, all entities collectively which are then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Participating Companies.</w:t>
      </w:r>
    </w:p>
    <w:p>
      <w:pPr>
        <w:spacing w:after="0" w:line="242" w:lineRule="exact"/>
        <w:rPr>
          <w:rFonts w:ascii="Arial" w:cs="Arial" w:eastAsia="Arial" w:hAnsi="Arial"/>
          <w:sz w:val="19"/>
          <w:szCs w:val="19"/>
          <w:color w:val="auto"/>
        </w:rPr>
      </w:pPr>
    </w:p>
    <w:p>
      <w:pPr>
        <w:ind w:left="2500" w:hanging="547"/>
        <w:spacing w:after="0"/>
        <w:tabs>
          <w:tab w:leader="none" w:pos="2500" w:val="left"/>
        </w:tabs>
        <w:numPr>
          <w:ilvl w:val="0"/>
          <w:numId w:val="39"/>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Award</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Award of Performance Shares or Performance Units.</w:t>
      </w:r>
    </w:p>
    <w:p>
      <w:pPr>
        <w:spacing w:after="0" w:line="260" w:lineRule="exact"/>
        <w:rPr>
          <w:rFonts w:ascii="Arial" w:cs="Arial" w:eastAsia="Arial" w:hAnsi="Arial"/>
          <w:sz w:val="22"/>
          <w:szCs w:val="22"/>
          <w:color w:val="auto"/>
        </w:rPr>
      </w:pPr>
    </w:p>
    <w:p>
      <w:pPr>
        <w:ind w:right="20" w:firstLine="1953"/>
        <w:spacing w:after="0" w:line="312" w:lineRule="auto"/>
        <w:tabs>
          <w:tab w:leader="none" w:pos="2445"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Performance Award Formula</w:t>
      </w:r>
      <w:r>
        <w:rPr>
          <w:rFonts w:ascii="Arial" w:cs="Arial" w:eastAsia="Arial" w:hAnsi="Arial"/>
          <w:sz w:val="19"/>
          <w:szCs w:val="19"/>
          <w:i w:val="1"/>
          <w:iCs w:val="1"/>
          <w:color w:val="auto"/>
        </w:rPr>
        <w:t xml:space="preserve">” </w:t>
      </w:r>
      <w:r>
        <w:rPr>
          <w:rFonts w:ascii="Arial" w:cs="Arial" w:eastAsia="Arial" w:hAnsi="Arial"/>
          <w:sz w:val="19"/>
          <w:szCs w:val="19"/>
          <w:color w:val="auto"/>
        </w:rPr>
        <w:t>means, for any Performance Award, a formula or table established by</w:t>
      </w:r>
      <w:r>
        <w:rPr>
          <w:rFonts w:ascii="Arial" w:cs="Arial" w:eastAsia="Arial" w:hAnsi="Arial"/>
          <w:sz w:val="19"/>
          <w:szCs w:val="19"/>
          <w:i w:val="1"/>
          <w:iCs w:val="1"/>
          <w:color w:val="auto"/>
        </w:rPr>
        <w:t xml:space="preserve"> </w:t>
      </w:r>
      <w:r>
        <w:rPr>
          <w:rFonts w:ascii="Arial" w:cs="Arial" w:eastAsia="Arial" w:hAnsi="Arial"/>
          <w:sz w:val="19"/>
          <w:szCs w:val="19"/>
          <w:color w:val="auto"/>
        </w:rPr>
        <w:t>the Committee pursuant to Section 10.3 which provides the basis for computing the value of a Performance Award at one or more threshold levels of attainment of the applicable Performance Goal(s) measured as of the end of the applicable Performance Period.</w:t>
      </w:r>
    </w:p>
    <w:p>
      <w:pPr>
        <w:spacing w:after="0" w:line="174" w:lineRule="exact"/>
        <w:rPr>
          <w:rFonts w:ascii="Arial" w:cs="Arial" w:eastAsia="Arial" w:hAnsi="Arial"/>
          <w:sz w:val="19"/>
          <w:szCs w:val="19"/>
          <w:color w:val="auto"/>
        </w:rPr>
      </w:pPr>
    </w:p>
    <w:p>
      <w:pPr>
        <w:ind w:right="1000" w:firstLine="1953"/>
        <w:spacing w:after="0" w:line="343" w:lineRule="auto"/>
        <w:tabs>
          <w:tab w:leader="none" w:pos="2359" w:val="left"/>
        </w:tabs>
        <w:numPr>
          <w:ilvl w:val="0"/>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Performance-Based Compensation</w:t>
      </w:r>
      <w:r>
        <w:rPr>
          <w:rFonts w:ascii="Arial" w:cs="Arial" w:eastAsia="Arial" w:hAnsi="Arial"/>
          <w:sz w:val="19"/>
          <w:szCs w:val="19"/>
          <w:color w:val="auto"/>
        </w:rPr>
        <w:t>” means compensation under an Award that satisfies the requirements of Section 162(m) for certain performance-based compensation paid to Covered Employees.</w:t>
      </w:r>
    </w:p>
    <w:p>
      <w:pPr>
        <w:spacing w:after="0" w:line="145" w:lineRule="exact"/>
        <w:rPr>
          <w:rFonts w:ascii="Arial" w:cs="Arial" w:eastAsia="Arial" w:hAnsi="Arial"/>
          <w:sz w:val="19"/>
          <w:szCs w:val="19"/>
          <w:color w:val="auto"/>
        </w:rPr>
      </w:pPr>
    </w:p>
    <w:p>
      <w:pPr>
        <w:ind w:left="2520" w:hanging="567"/>
        <w:spacing w:after="0"/>
        <w:tabs>
          <w:tab w:leader="none" w:pos="2520" w:val="left"/>
        </w:tabs>
        <w:numPr>
          <w:ilvl w:val="0"/>
          <w:numId w:val="39"/>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Goal</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performance goal established by the Committee pursuant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Section 10.3.</w:t>
      </w:r>
    </w:p>
    <w:p>
      <w:pPr>
        <w:spacing w:after="0" w:line="242" w:lineRule="exact"/>
        <w:rPr>
          <w:sz w:val="20"/>
          <w:szCs w:val="20"/>
          <w:color w:val="auto"/>
        </w:rPr>
      </w:pPr>
    </w:p>
    <w:p>
      <w:pPr>
        <w:ind w:right="260" w:firstLine="1953"/>
        <w:spacing w:after="0" w:line="263" w:lineRule="auto"/>
        <w:tabs>
          <w:tab w:leader="none" w:pos="2425"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Period</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period established by the Committee pursuant to Section 10.3 at the</w:t>
      </w:r>
      <w:r>
        <w:rPr>
          <w:rFonts w:ascii="Arial" w:cs="Arial" w:eastAsia="Arial" w:hAnsi="Arial"/>
          <w:sz w:val="22"/>
          <w:szCs w:val="22"/>
          <w:i w:val="1"/>
          <w:iCs w:val="1"/>
          <w:color w:val="auto"/>
        </w:rPr>
        <w:t xml:space="preserve"> </w:t>
      </w:r>
      <w:r>
        <w:rPr>
          <w:rFonts w:ascii="Arial" w:cs="Arial" w:eastAsia="Arial" w:hAnsi="Arial"/>
          <w:sz w:val="22"/>
          <w:szCs w:val="22"/>
          <w:color w:val="auto"/>
        </w:rPr>
        <w:t>end of which one or more Performance Goals are to be measured.</w:t>
      </w:r>
    </w:p>
    <w:p>
      <w:pPr>
        <w:spacing w:after="0" w:line="215" w:lineRule="exact"/>
        <w:rPr>
          <w:rFonts w:ascii="Arial" w:cs="Arial" w:eastAsia="Arial" w:hAnsi="Arial"/>
          <w:sz w:val="22"/>
          <w:szCs w:val="22"/>
          <w:color w:val="auto"/>
        </w:rPr>
      </w:pPr>
    </w:p>
    <w:p>
      <w:pPr>
        <w:ind w:right="140" w:firstLine="1953"/>
        <w:spacing w:after="0" w:line="253" w:lineRule="auto"/>
        <w:tabs>
          <w:tab w:leader="none" w:pos="2425"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Share</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bookkeeping entry representing a right granted to a Participant</w:t>
      </w:r>
      <w:r>
        <w:rPr>
          <w:rFonts w:ascii="Arial" w:cs="Arial" w:eastAsia="Arial" w:hAnsi="Arial"/>
          <w:sz w:val="22"/>
          <w:szCs w:val="22"/>
          <w:i w:val="1"/>
          <w:iCs w:val="1"/>
          <w:color w:val="auto"/>
        </w:rPr>
        <w:t xml:space="preserve"> </w:t>
      </w:r>
      <w:r>
        <w:rPr>
          <w:rFonts w:ascii="Arial" w:cs="Arial" w:eastAsia="Arial" w:hAnsi="Arial"/>
          <w:sz w:val="22"/>
          <w:szCs w:val="22"/>
          <w:color w:val="auto"/>
        </w:rPr>
        <w:t>pursuant to Section 10 to receive a payment equal to the value of a Performance Share, as determined by the Committee, based on performance.</w:t>
      </w:r>
    </w:p>
    <w:p>
      <w:pPr>
        <w:spacing w:after="0" w:line="226" w:lineRule="exact"/>
        <w:rPr>
          <w:rFonts w:ascii="Arial" w:cs="Arial" w:eastAsia="Arial" w:hAnsi="Arial"/>
          <w:sz w:val="22"/>
          <w:szCs w:val="22"/>
          <w:color w:val="auto"/>
        </w:rPr>
      </w:pPr>
    </w:p>
    <w:p>
      <w:pPr>
        <w:ind w:firstLine="1953"/>
        <w:spacing w:after="0" w:line="253" w:lineRule="auto"/>
        <w:tabs>
          <w:tab w:leader="none" w:pos="2521"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Unit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bookkeeping entry representing a right granted to a Participant pursuant</w:t>
      </w:r>
      <w:r>
        <w:rPr>
          <w:rFonts w:ascii="Arial" w:cs="Arial" w:eastAsia="Arial" w:hAnsi="Arial"/>
          <w:sz w:val="22"/>
          <w:szCs w:val="22"/>
          <w:i w:val="1"/>
          <w:iCs w:val="1"/>
          <w:color w:val="auto"/>
        </w:rPr>
        <w:t xml:space="preserve"> </w:t>
      </w:r>
      <w:r>
        <w:rPr>
          <w:rFonts w:ascii="Arial" w:cs="Arial" w:eastAsia="Arial" w:hAnsi="Arial"/>
          <w:sz w:val="22"/>
          <w:szCs w:val="22"/>
          <w:color w:val="auto"/>
        </w:rPr>
        <w:t>to Section 10 to receive a payment equal to the value of a Performance Unit, as determined by the Committee, based upon performance.</w:t>
      </w:r>
    </w:p>
    <w:p>
      <w:pPr>
        <w:spacing w:after="0" w:line="226" w:lineRule="exact"/>
        <w:rPr>
          <w:rFonts w:ascii="Arial" w:cs="Arial" w:eastAsia="Arial" w:hAnsi="Arial"/>
          <w:sz w:val="22"/>
          <w:szCs w:val="22"/>
          <w:color w:val="auto"/>
        </w:rPr>
      </w:pPr>
    </w:p>
    <w:p>
      <w:pPr>
        <w:ind w:left="2440" w:hanging="487"/>
        <w:spacing w:after="0"/>
        <w:tabs>
          <w:tab w:leader="none" w:pos="2440"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Restricted Stock Award</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 Award of a Restricted Stock Bonus or a Restricted Stock Purchase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Right.</w:t>
      </w:r>
    </w:p>
    <w:p>
      <w:pPr>
        <w:spacing w:after="0" w:line="242" w:lineRule="exact"/>
        <w:rPr>
          <w:rFonts w:ascii="Arial" w:cs="Arial" w:eastAsia="Arial" w:hAnsi="Arial"/>
          <w:sz w:val="19"/>
          <w:szCs w:val="19"/>
          <w:color w:val="auto"/>
        </w:rPr>
      </w:pPr>
    </w:p>
    <w:p>
      <w:pPr>
        <w:ind w:left="2640" w:hanging="687"/>
        <w:spacing w:after="0"/>
        <w:tabs>
          <w:tab w:leader="none" w:pos="2640"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Restricted Stock Bonus</w:t>
      </w:r>
      <w:r>
        <w:rPr>
          <w:rFonts w:ascii="Arial" w:cs="Arial" w:eastAsia="Arial" w:hAnsi="Arial"/>
          <w:sz w:val="22"/>
          <w:szCs w:val="22"/>
          <w:i w:val="1"/>
          <w:iCs w:val="1"/>
          <w:color w:val="auto"/>
        </w:rPr>
        <w:t xml:space="preserve">” </w:t>
      </w:r>
      <w:r>
        <w:rPr>
          <w:rFonts w:ascii="Arial" w:cs="Arial" w:eastAsia="Arial" w:hAnsi="Arial"/>
          <w:sz w:val="22"/>
          <w:szCs w:val="22"/>
          <w:color w:val="auto"/>
        </w:rPr>
        <w:t>means Stock granted to a Participant pursuant to Section 8.</w:t>
      </w:r>
    </w:p>
    <w:p>
      <w:pPr>
        <w:spacing w:after="0" w:line="260" w:lineRule="exact"/>
        <w:rPr>
          <w:rFonts w:ascii="Arial" w:cs="Arial" w:eastAsia="Arial" w:hAnsi="Arial"/>
          <w:sz w:val="22"/>
          <w:szCs w:val="22"/>
          <w:color w:val="auto"/>
        </w:rPr>
      </w:pPr>
    </w:p>
    <w:p>
      <w:pPr>
        <w:ind w:left="2520" w:hanging="567"/>
        <w:spacing w:after="0"/>
        <w:tabs>
          <w:tab w:leader="none" w:pos="2520"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Restricted Stock Purchase Right</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right to purchase Stock granted to a Participant pursuant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Section 8.</w:t>
      </w:r>
    </w:p>
    <w:p>
      <w:pPr>
        <w:spacing w:after="0" w:line="242" w:lineRule="exact"/>
        <w:rPr>
          <w:rFonts w:ascii="Arial" w:cs="Arial" w:eastAsia="Arial" w:hAnsi="Arial"/>
          <w:sz w:val="19"/>
          <w:szCs w:val="19"/>
          <w:color w:val="auto"/>
        </w:rPr>
      </w:pPr>
    </w:p>
    <w:p>
      <w:pPr>
        <w:ind w:right="120" w:firstLine="1953"/>
        <w:spacing w:after="0" w:line="253" w:lineRule="auto"/>
        <w:tabs>
          <w:tab w:leader="none" w:pos="2521"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Restricted Stock Unit”</w:t>
      </w:r>
      <w:r>
        <w:rPr>
          <w:rFonts w:ascii="Arial" w:cs="Arial" w:eastAsia="Arial" w:hAnsi="Arial"/>
          <w:sz w:val="22"/>
          <w:szCs w:val="22"/>
          <w:i w:val="1"/>
          <w:iCs w:val="1"/>
          <w:color w:val="auto"/>
        </w:rPr>
        <w:t xml:space="preserve"> </w:t>
      </w:r>
      <w:r>
        <w:rPr>
          <w:rFonts w:ascii="Arial" w:cs="Arial" w:eastAsia="Arial" w:hAnsi="Arial"/>
          <w:sz w:val="22"/>
          <w:szCs w:val="22"/>
          <w:color w:val="auto"/>
        </w:rPr>
        <w:t>or</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Stock Unit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right granted to a Participant pursuant to Section 9</w:t>
      </w:r>
      <w:r>
        <w:rPr>
          <w:rFonts w:ascii="Arial" w:cs="Arial" w:eastAsia="Arial" w:hAnsi="Arial"/>
          <w:sz w:val="22"/>
          <w:szCs w:val="22"/>
          <w:i w:val="1"/>
          <w:iCs w:val="1"/>
          <w:color w:val="auto"/>
        </w:rPr>
        <w:t xml:space="preserve"> </w:t>
      </w:r>
      <w:r>
        <w:rPr>
          <w:rFonts w:ascii="Arial" w:cs="Arial" w:eastAsia="Arial" w:hAnsi="Arial"/>
          <w:sz w:val="22"/>
          <w:szCs w:val="22"/>
          <w:color w:val="auto"/>
        </w:rPr>
        <w:t>to receive a share of Stock on a date determined in accordance with the provisions of such Section and the Participant’s Award Agreement.</w:t>
      </w:r>
    </w:p>
    <w:p>
      <w:pPr>
        <w:spacing w:after="0" w:line="226" w:lineRule="exact"/>
        <w:rPr>
          <w:rFonts w:ascii="Arial" w:cs="Arial" w:eastAsia="Arial" w:hAnsi="Arial"/>
          <w:sz w:val="22"/>
          <w:szCs w:val="22"/>
          <w:color w:val="auto"/>
        </w:rPr>
      </w:pPr>
    </w:p>
    <w:p>
      <w:pPr>
        <w:ind w:left="2520" w:hanging="567"/>
        <w:spacing w:after="0"/>
        <w:tabs>
          <w:tab w:leader="none" w:pos="2520" w:val="left"/>
        </w:tabs>
        <w:numPr>
          <w:ilvl w:val="0"/>
          <w:numId w:val="40"/>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Rule 16b-3</w:t>
      </w:r>
      <w:r>
        <w:rPr>
          <w:rFonts w:ascii="Arial" w:cs="Arial" w:eastAsia="Arial" w:hAnsi="Arial"/>
          <w:sz w:val="21"/>
          <w:szCs w:val="21"/>
          <w:i w:val="1"/>
          <w:iCs w:val="1"/>
          <w:color w:val="auto"/>
        </w:rPr>
        <w:t xml:space="preserve">” </w:t>
      </w:r>
      <w:r>
        <w:rPr>
          <w:rFonts w:ascii="Arial" w:cs="Arial" w:eastAsia="Arial" w:hAnsi="Arial"/>
          <w:sz w:val="21"/>
          <w:szCs w:val="21"/>
          <w:color w:val="auto"/>
        </w:rPr>
        <w:t>means Rule 16b-3 under the Exchange Act, as amended from time to time, or any</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successor rule or regulation.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A- 7</w:t>
      </w:r>
    </w:p>
    <w:p>
      <w:pPr>
        <w:sectPr>
          <w:pgSz w:w="11900" w:h="16838" w:orient="portrait"/>
          <w:cols w:equalWidth="0" w:num="1">
            <w:col w:w="11400"/>
          </w:cols>
          <w:pgMar w:left="240" w:top="591" w:right="259" w:bottom="1440" w:gutter="0" w:footer="0" w:header="0"/>
        </w:sectPr>
      </w:pPr>
    </w:p>
    <w:bookmarkStart w:id="41" w:name="page42"/>
    <w:bookmarkEnd w:id="41"/>
    <w:p>
      <w:pPr>
        <w:jc w:val="both"/>
        <w:ind w:right="40" w:firstLine="1953"/>
        <w:spacing w:after="0" w:line="253" w:lineRule="auto"/>
        <w:tabs>
          <w:tab w:leader="none" w:pos="2521"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SAR</w:t>
      </w:r>
      <w:r>
        <w:rPr>
          <w:rFonts w:ascii="Arial" w:cs="Arial" w:eastAsia="Arial" w:hAnsi="Arial"/>
          <w:sz w:val="22"/>
          <w:szCs w:val="22"/>
          <w:i w:val="1"/>
          <w:iCs w:val="1"/>
          <w:color w:val="auto"/>
        </w:rPr>
        <w:t xml:space="preserve">” </w:t>
      </w:r>
      <w:r>
        <w:rPr>
          <w:rFonts w:ascii="Arial" w:cs="Arial" w:eastAsia="Arial" w:hAnsi="Arial"/>
          <w:sz w:val="22"/>
          <w:szCs w:val="22"/>
          <w:color w:val="auto"/>
        </w:rPr>
        <w:t>or</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Stock Appreciation Right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right granted to a Participant pursuant to Section 7 to</w:t>
      </w:r>
      <w:r>
        <w:rPr>
          <w:rFonts w:ascii="Arial" w:cs="Arial" w:eastAsia="Arial" w:hAnsi="Arial"/>
          <w:sz w:val="22"/>
          <w:szCs w:val="22"/>
          <w:i w:val="1"/>
          <w:iCs w:val="1"/>
          <w:color w:val="auto"/>
        </w:rPr>
        <w:t xml:space="preserve"> </w:t>
      </w:r>
      <w:r>
        <w:rPr>
          <w:rFonts w:ascii="Arial" w:cs="Arial" w:eastAsia="Arial" w:hAnsi="Arial"/>
          <w:sz w:val="22"/>
          <w:szCs w:val="22"/>
          <w:color w:val="auto"/>
        </w:rPr>
        <w:t>receive payment, for each share of Stock subject to such SAR, of an amount equal to the excess, if any, of the Fair Market Value of a share of Stock on the date of exercise of the SAR over the exercise price.</w:t>
      </w:r>
    </w:p>
    <w:p>
      <w:pPr>
        <w:spacing w:after="0" w:line="226" w:lineRule="exact"/>
        <w:rPr>
          <w:rFonts w:ascii="Arial" w:cs="Arial" w:eastAsia="Arial" w:hAnsi="Arial"/>
          <w:sz w:val="22"/>
          <w:szCs w:val="22"/>
          <w:color w:val="auto"/>
        </w:rPr>
      </w:pPr>
    </w:p>
    <w:p>
      <w:pPr>
        <w:ind w:left="2460" w:hanging="507"/>
        <w:spacing w:after="0"/>
        <w:tabs>
          <w:tab w:leader="none" w:pos="2460"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Section 162(m)</w:t>
      </w:r>
      <w:r>
        <w:rPr>
          <w:rFonts w:ascii="Arial" w:cs="Arial" w:eastAsia="Arial" w:hAnsi="Arial"/>
          <w:sz w:val="22"/>
          <w:szCs w:val="22"/>
          <w:i w:val="1"/>
          <w:iCs w:val="1"/>
          <w:color w:val="auto"/>
        </w:rPr>
        <w:t xml:space="preserve">” </w:t>
      </w:r>
      <w:r>
        <w:rPr>
          <w:rFonts w:ascii="Arial" w:cs="Arial" w:eastAsia="Arial" w:hAnsi="Arial"/>
          <w:sz w:val="22"/>
          <w:szCs w:val="22"/>
          <w:color w:val="auto"/>
        </w:rPr>
        <w:t>means Section 162(m) of the Code.</w:t>
      </w:r>
    </w:p>
    <w:p>
      <w:pPr>
        <w:spacing w:after="0" w:line="260" w:lineRule="exact"/>
        <w:rPr>
          <w:rFonts w:ascii="Arial" w:cs="Arial" w:eastAsia="Arial" w:hAnsi="Arial"/>
          <w:sz w:val="22"/>
          <w:szCs w:val="22"/>
          <w:color w:val="auto"/>
        </w:rPr>
      </w:pPr>
    </w:p>
    <w:p>
      <w:pPr>
        <w:ind w:left="2480" w:hanging="527"/>
        <w:spacing w:after="0"/>
        <w:tabs>
          <w:tab w:leader="none" w:pos="2480" w:val="left"/>
        </w:tabs>
        <w:numPr>
          <w:ilvl w:val="0"/>
          <w:numId w:val="41"/>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Section 409A</w:t>
      </w:r>
      <w:r>
        <w:rPr>
          <w:rFonts w:ascii="Arial" w:cs="Arial" w:eastAsia="Arial" w:hAnsi="Arial"/>
          <w:sz w:val="19"/>
          <w:szCs w:val="19"/>
          <w:i w:val="1"/>
          <w:iCs w:val="1"/>
          <w:color w:val="auto"/>
        </w:rPr>
        <w:t xml:space="preserve">” </w:t>
      </w:r>
      <w:r>
        <w:rPr>
          <w:rFonts w:ascii="Arial" w:cs="Arial" w:eastAsia="Arial" w:hAnsi="Arial"/>
          <w:sz w:val="19"/>
          <w:szCs w:val="19"/>
          <w:color w:val="auto"/>
        </w:rPr>
        <w:t>means Section 409A of the Code (including regulations or administrative guidelines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thereunder).</w:t>
      </w:r>
    </w:p>
    <w:p>
      <w:pPr>
        <w:spacing w:after="0" w:line="242" w:lineRule="exact"/>
        <w:rPr>
          <w:rFonts w:ascii="Arial" w:cs="Arial" w:eastAsia="Arial" w:hAnsi="Arial"/>
          <w:sz w:val="19"/>
          <w:szCs w:val="19"/>
          <w:color w:val="auto"/>
        </w:rPr>
      </w:pPr>
    </w:p>
    <w:p>
      <w:pPr>
        <w:ind w:left="2440" w:hanging="487"/>
        <w:spacing w:after="0"/>
        <w:tabs>
          <w:tab w:leader="none" w:pos="2440"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Securities Act of 1933, as amended.</w:t>
      </w:r>
    </w:p>
    <w:p>
      <w:pPr>
        <w:spacing w:after="0" w:line="260" w:lineRule="exact"/>
        <w:rPr>
          <w:rFonts w:ascii="Arial" w:cs="Arial" w:eastAsia="Arial" w:hAnsi="Arial"/>
          <w:sz w:val="22"/>
          <w:szCs w:val="22"/>
          <w:color w:val="auto"/>
        </w:rPr>
      </w:pPr>
    </w:p>
    <w:p>
      <w:pPr>
        <w:ind w:firstLine="1953"/>
        <w:spacing w:after="0" w:line="286" w:lineRule="auto"/>
        <w:tabs>
          <w:tab w:leader="none" w:pos="2521" w:val="left"/>
        </w:tabs>
        <w:numPr>
          <w:ilvl w:val="0"/>
          <w:numId w:val="41"/>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Service</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Participant’s employment or service with the Participating Company Group,</w:t>
      </w:r>
      <w:r>
        <w:rPr>
          <w:rFonts w:ascii="Arial" w:cs="Arial" w:eastAsia="Arial" w:hAnsi="Arial"/>
          <w:sz w:val="19"/>
          <w:szCs w:val="19"/>
          <w:i w:val="1"/>
          <w:iCs w:val="1"/>
          <w:color w:val="auto"/>
        </w:rPr>
        <w:t xml:space="preserve"> </w:t>
      </w:r>
      <w:r>
        <w:rPr>
          <w:rFonts w:ascii="Arial" w:cs="Arial" w:eastAsia="Arial" w:hAnsi="Arial"/>
          <w:sz w:val="19"/>
          <w:szCs w:val="19"/>
          <w:color w:val="auto"/>
        </w:rPr>
        <w:t>whether in the capacity of an Employee, a Director or a Consultant. Unless otherwise provided by the Committee, a Participant’s Service shall not be deemed to have terminated merely because of a change in the capacity in which the Participant renders such Service or a change in the Participating Company for which the Participant renders such Service, provided that there is no interruption or termination of the Participant’s Service. Furthermore, a Participant’s Service shall not be deemed to have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 leave of absence shall not be treated as Service for purposes of determining vesting under the Participant’s Award Agreement. A Participant’s Service shall be deemed to have terminated either upon an actual termination of Service or upon the entity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left="2520" w:hanging="567"/>
        <w:spacing w:after="0"/>
        <w:tabs>
          <w:tab w:leader="none" w:pos="2520" w:val="left"/>
        </w:tabs>
        <w:numPr>
          <w:ilvl w:val="0"/>
          <w:numId w:val="41"/>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Stock</w:t>
      </w:r>
      <w:r>
        <w:rPr>
          <w:rFonts w:ascii="Arial" w:cs="Arial" w:eastAsia="Arial" w:hAnsi="Arial"/>
          <w:sz w:val="21"/>
          <w:szCs w:val="21"/>
          <w:i w:val="1"/>
          <w:iCs w:val="1"/>
          <w:color w:val="auto"/>
        </w:rPr>
        <w:t xml:space="preserve">” </w:t>
      </w:r>
      <w:r>
        <w:rPr>
          <w:rFonts w:ascii="Arial" w:cs="Arial" w:eastAsia="Arial" w:hAnsi="Arial"/>
          <w:sz w:val="21"/>
          <w:szCs w:val="21"/>
          <w:color w:val="auto"/>
        </w:rPr>
        <w:t>means the Class A common stock of the Company, as adjusted from time to time in</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accordance with Section 4.4.</w:t>
      </w:r>
    </w:p>
    <w:p>
      <w:pPr>
        <w:spacing w:after="0" w:line="242" w:lineRule="exact"/>
        <w:rPr>
          <w:rFonts w:ascii="Arial" w:cs="Arial" w:eastAsia="Arial" w:hAnsi="Arial"/>
          <w:sz w:val="21"/>
          <w:szCs w:val="21"/>
          <w:color w:val="auto"/>
        </w:rPr>
      </w:pPr>
    </w:p>
    <w:p>
      <w:pPr>
        <w:ind w:right="60" w:firstLine="1953"/>
        <w:spacing w:after="0" w:line="263" w:lineRule="auto"/>
        <w:tabs>
          <w:tab w:leader="none" w:pos="2617"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Subsidiary 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present or future “subsidiary corporation” of the Company, as</w:t>
      </w:r>
      <w:r>
        <w:rPr>
          <w:rFonts w:ascii="Arial" w:cs="Arial" w:eastAsia="Arial" w:hAnsi="Arial"/>
          <w:sz w:val="22"/>
          <w:szCs w:val="22"/>
          <w:i w:val="1"/>
          <w:iCs w:val="1"/>
          <w:color w:val="auto"/>
        </w:rPr>
        <w:t xml:space="preserve"> </w:t>
      </w:r>
      <w:r>
        <w:rPr>
          <w:rFonts w:ascii="Arial" w:cs="Arial" w:eastAsia="Arial" w:hAnsi="Arial"/>
          <w:sz w:val="22"/>
          <w:szCs w:val="22"/>
          <w:color w:val="auto"/>
        </w:rPr>
        <w:t>defined in Section 424(f) of the Code.</w:t>
      </w:r>
    </w:p>
    <w:p>
      <w:pPr>
        <w:spacing w:after="0" w:line="215" w:lineRule="exact"/>
        <w:rPr>
          <w:rFonts w:ascii="Arial" w:cs="Arial" w:eastAsia="Arial" w:hAnsi="Arial"/>
          <w:sz w:val="22"/>
          <w:szCs w:val="22"/>
          <w:color w:val="auto"/>
        </w:rPr>
      </w:pPr>
    </w:p>
    <w:p>
      <w:pPr>
        <w:jc w:val="both"/>
        <w:ind w:right="300" w:firstLine="1953"/>
        <w:spacing w:after="0" w:line="253" w:lineRule="auto"/>
        <w:tabs>
          <w:tab w:leader="none" w:pos="2521"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Ten Percent Owner</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Participant who, at the time an Option is granted to the Participant,</w:t>
      </w:r>
      <w:r>
        <w:rPr>
          <w:rFonts w:ascii="Arial" w:cs="Arial" w:eastAsia="Arial" w:hAnsi="Arial"/>
          <w:sz w:val="22"/>
          <w:szCs w:val="22"/>
          <w:i w:val="1"/>
          <w:iCs w:val="1"/>
          <w:color w:val="auto"/>
        </w:rPr>
        <w:t xml:space="preserve"> </w:t>
      </w:r>
      <w:r>
        <w:rPr>
          <w:rFonts w:ascii="Arial" w:cs="Arial" w:eastAsia="Arial" w:hAnsi="Arial"/>
          <w:sz w:val="22"/>
          <w:szCs w:val="22"/>
          <w:color w:val="auto"/>
        </w:rPr>
        <w:t>owns stock possessing more than ten percent (10%) of the total combined voting power of all classes of stock of a Participating Company (other than an Affiliate) within the meaning of Section 422(b)(6) of the Code.</w:t>
      </w:r>
    </w:p>
    <w:p>
      <w:pPr>
        <w:spacing w:after="0" w:line="226" w:lineRule="exact"/>
        <w:rPr>
          <w:rFonts w:ascii="Arial" w:cs="Arial" w:eastAsia="Arial" w:hAnsi="Arial"/>
          <w:sz w:val="22"/>
          <w:szCs w:val="22"/>
          <w:color w:val="auto"/>
        </w:rPr>
      </w:pPr>
    </w:p>
    <w:p>
      <w:pPr>
        <w:ind w:right="480" w:firstLine="1953"/>
        <w:spacing w:after="0" w:line="253" w:lineRule="auto"/>
        <w:tabs>
          <w:tab w:leader="none" w:pos="2521"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Vesting Conditions</w:t>
      </w:r>
      <w:r>
        <w:rPr>
          <w:rFonts w:ascii="Arial" w:cs="Arial" w:eastAsia="Arial" w:hAnsi="Arial"/>
          <w:sz w:val="22"/>
          <w:szCs w:val="22"/>
          <w:i w:val="1"/>
          <w:iCs w:val="1"/>
          <w:color w:val="auto"/>
        </w:rPr>
        <w:t xml:space="preserve">” </w:t>
      </w:r>
      <w:r>
        <w:rPr>
          <w:rFonts w:ascii="Arial" w:cs="Arial" w:eastAsia="Arial" w:hAnsi="Arial"/>
          <w:sz w:val="22"/>
          <w:szCs w:val="22"/>
          <w:color w:val="auto"/>
        </w:rPr>
        <w:t>mean those conditions established in accordance with the Plan prior to the</w:t>
      </w:r>
      <w:r>
        <w:rPr>
          <w:rFonts w:ascii="Arial" w:cs="Arial" w:eastAsia="Arial" w:hAnsi="Arial"/>
          <w:sz w:val="22"/>
          <w:szCs w:val="22"/>
          <w:i w:val="1"/>
          <w:iCs w:val="1"/>
          <w:color w:val="auto"/>
        </w:rPr>
        <w:t xml:space="preserve"> </w:t>
      </w:r>
      <w:r>
        <w:rPr>
          <w:rFonts w:ascii="Arial" w:cs="Arial" w:eastAsia="Arial" w:hAnsi="Arial"/>
          <w:sz w:val="22"/>
          <w:szCs w:val="22"/>
          <w:color w:val="auto"/>
        </w:rPr>
        <w:t>satisfaction of which shares subject to an Award remain subject to forfeiture or a repurchase option in favor of the Company exercisable for the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A- 8</w:t>
      </w:r>
    </w:p>
    <w:p>
      <w:pPr>
        <w:sectPr>
          <w:pgSz w:w="11900" w:h="16838" w:orient="portrait"/>
          <w:cols w:equalWidth="0" w:num="1">
            <w:col w:w="11380"/>
          </w:cols>
          <w:pgMar w:left="240" w:top="591" w:right="27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Participant’s monetary purchase price, if any, for such shares upon the Participant’s termination of Service.</w:t>
      </w:r>
    </w:p>
    <w:p>
      <w:pPr>
        <w:spacing w:after="0" w:line="254" w:lineRule="exact"/>
        <w:rPr>
          <w:sz w:val="20"/>
          <w:szCs w:val="20"/>
          <w:color w:val="auto"/>
        </w:rPr>
      </w:pPr>
    </w:p>
    <w:p>
      <w:pPr>
        <w:ind w:right="160" w:firstLine="1297"/>
        <w:spacing w:after="0" w:line="252"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color w:val="auto"/>
        </w:rPr>
        <w:t>Construction.</w:t>
      </w:r>
      <w:r>
        <w:rPr>
          <w:rFonts w:ascii="Arial" w:cs="Arial" w:eastAsia="Arial" w:hAnsi="Arial"/>
          <w:sz w:val="22"/>
          <w:szCs w:val="22"/>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221" w:lineRule="exact"/>
        <w:rPr>
          <w:sz w:val="20"/>
          <w:szCs w:val="20"/>
          <w:color w:val="auto"/>
        </w:rPr>
      </w:pPr>
    </w:p>
    <w:p>
      <w:pPr>
        <w:ind w:left="1040" w:hanging="384"/>
        <w:spacing w:after="0"/>
        <w:tabs>
          <w:tab w:leader="none" w:pos="104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b w:val="1"/>
          <w:bCs w:val="1"/>
          <w:color w:val="auto"/>
        </w:rPr>
        <w:t>.</w:t>
      </w:r>
    </w:p>
    <w:p>
      <w:pPr>
        <w:spacing w:after="0" w:line="260" w:lineRule="exact"/>
        <w:rPr>
          <w:sz w:val="20"/>
          <w:szCs w:val="20"/>
          <w:color w:val="auto"/>
        </w:rPr>
      </w:pPr>
    </w:p>
    <w:p>
      <w:pPr>
        <w:ind w:firstLine="1297"/>
        <w:spacing w:after="0" w:line="293"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color w:val="auto"/>
        </w:rPr>
        <w:t>Administration by the Committee.</w:t>
      </w:r>
      <w:r>
        <w:rPr>
          <w:rFonts w:ascii="Arial" w:cs="Arial" w:eastAsia="Arial" w:hAnsi="Arial"/>
          <w:sz w:val="19"/>
          <w:szCs w:val="19"/>
          <w:color w:val="auto"/>
        </w:rPr>
        <w:t xml:space="preserve">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w:t>
      </w:r>
    </w:p>
    <w:p>
      <w:pPr>
        <w:spacing w:after="0" w:line="186" w:lineRule="exact"/>
        <w:rPr>
          <w:sz w:val="20"/>
          <w:szCs w:val="20"/>
          <w:color w:val="auto"/>
        </w:rPr>
      </w:pPr>
    </w:p>
    <w:p>
      <w:pPr>
        <w:ind w:right="20" w:firstLine="1297"/>
        <w:spacing w:after="0" w:line="258"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b w:val="1"/>
          <w:bCs w:val="1"/>
          <w:color w:val="auto"/>
        </w:rPr>
        <w:t>Authority of Officers.</w:t>
      </w:r>
      <w:r>
        <w:rPr>
          <w:rFonts w:ascii="Arial" w:cs="Arial" w:eastAsia="Arial" w:hAnsi="Arial"/>
          <w:sz w:val="21"/>
          <w:szCs w:val="21"/>
          <w:color w:val="auto"/>
        </w:rPr>
        <w:t xml:space="preserve"> Any Officer shall have the authority to act on behalf of the Company with respect to any matter, right, obligation, determination or election which is the responsibility of or which is allocated to the Company herein, provided the Officer has apparent authority with respect to such matter, right, obligation, determination or election. The Board or Committee may, in its discretion, delegate to a committee comprised of one or more Officers the authority to grant one or more Awards, without further approval of the Board or the Committee, to any Employee, other than a person who, at the time of such grant, is an Insider or a Covered Person; provided, however, that (a) such Awards shall not be granted for shares in excess of the maximum aggregate number of shares of Stock authorized for issuance pursuant to Section 4.1, (b) the exercise price per share of each such Award which is an Option or Stock Appreciation Right shall be not less than the Fair Market Value per share of the Stock on the effective date of grant (or, if the Stock has not traded on such date, on the last day preceding the effective date of grant on which the Stock was traded), (c) each such Award shall be subject to the terms and conditions of the appropriate standard form of Award Agreement approved by the Board or the Committee and shall conform to the provisions of the Plan, and (d) each such Award shall conform to such limits and guidelines as shall be established from time to time by resolution of the Board or the Committee.</w:t>
      </w:r>
    </w:p>
    <w:p>
      <w:pPr>
        <w:spacing w:after="0" w:line="218" w:lineRule="exact"/>
        <w:rPr>
          <w:sz w:val="20"/>
          <w:szCs w:val="20"/>
          <w:color w:val="auto"/>
        </w:rPr>
      </w:pPr>
    </w:p>
    <w:p>
      <w:pPr>
        <w:ind w:right="320" w:firstLine="1297"/>
        <w:spacing w:after="0" w:line="256"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Administration with Respect to Insiders.</w:t>
      </w:r>
      <w:r>
        <w:rPr>
          <w:rFonts w:ascii="Arial" w:cs="Arial" w:eastAsia="Arial" w:hAnsi="Arial"/>
          <w:sz w:val="22"/>
          <w:szCs w:val="22"/>
          <w:color w:val="auto"/>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217" w:lineRule="exact"/>
        <w:rPr>
          <w:sz w:val="20"/>
          <w:szCs w:val="20"/>
          <w:color w:val="auto"/>
        </w:rPr>
      </w:pPr>
    </w:p>
    <w:p>
      <w:pPr>
        <w:ind w:right="480" w:firstLine="1297"/>
        <w:spacing w:after="0" w:line="269"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b w:val="1"/>
          <w:bCs w:val="1"/>
          <w:color w:val="auto"/>
        </w:rPr>
        <w:t>Committee Complying with Section 162(m).</w:t>
      </w:r>
      <w:r>
        <w:rPr>
          <w:rFonts w:ascii="Arial" w:cs="Arial" w:eastAsia="Arial" w:hAnsi="Arial"/>
          <w:sz w:val="22"/>
          <w:szCs w:val="22"/>
          <w:color w:val="auto"/>
        </w:rPr>
        <w:t xml:space="preserve"> If the Company is a “publicly held corporation” within the meaning of Section 162(m), the Board may establish 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A- 9</w:t>
      </w:r>
    </w:p>
    <w:p>
      <w:pPr>
        <w:sectPr>
          <w:pgSz w:w="11900" w:h="16838" w:orient="portrait"/>
          <w:cols w:equalWidth="0" w:num="1">
            <w:col w:w="11420"/>
          </w:cols>
          <w:pgMar w:left="240" w:top="591" w:right="239" w:bottom="1440" w:gutter="0" w:footer="0" w:header="0"/>
        </w:sectPr>
      </w:pPr>
    </w:p>
    <w:bookmarkStart w:id="43" w:name="page44"/>
    <w:bookmarkEnd w:id="43"/>
    <w:p>
      <w:pPr>
        <w:ind w:right="20"/>
        <w:spacing w:after="0" w:line="263" w:lineRule="auto"/>
        <w:rPr>
          <w:sz w:val="20"/>
          <w:szCs w:val="20"/>
          <w:color w:val="auto"/>
        </w:rPr>
      </w:pPr>
      <w:r>
        <w:rPr>
          <w:rFonts w:ascii="Arial" w:cs="Arial" w:eastAsia="Arial" w:hAnsi="Arial"/>
          <w:sz w:val="22"/>
          <w:szCs w:val="22"/>
          <w:color w:val="auto"/>
        </w:rPr>
        <w:t>Committee of “outside directors” within the meaning of Section 162(m) to approve the grant of any Award intended to result in the payment of Performance-Based Compensation.</w:t>
      </w:r>
    </w:p>
    <w:p>
      <w:pPr>
        <w:spacing w:after="0" w:line="209" w:lineRule="exact"/>
        <w:rPr>
          <w:sz w:val="20"/>
          <w:szCs w:val="20"/>
          <w:color w:val="auto"/>
        </w:rPr>
      </w:pPr>
    </w:p>
    <w:p>
      <w:pPr>
        <w:ind w:right="160" w:firstLine="1297"/>
        <w:spacing w:after="0" w:line="269"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b w:val="1"/>
          <w:bCs w:val="1"/>
          <w:color w:val="auto"/>
        </w:rPr>
        <w:t>Powers of the Committee</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In addition to any other powers set forth in the Plan and subject to the provisions of the Plan, the Committee shall have the full and final power and authority, in its discretion:</w:t>
      </w:r>
    </w:p>
    <w:p>
      <w:pPr>
        <w:spacing w:after="0" w:line="209" w:lineRule="exact"/>
        <w:rPr>
          <w:sz w:val="20"/>
          <w:szCs w:val="20"/>
          <w:color w:val="auto"/>
        </w:rPr>
      </w:pPr>
    </w:p>
    <w:p>
      <w:pPr>
        <w:ind w:firstLine="1953"/>
        <w:spacing w:after="0" w:line="263" w:lineRule="auto"/>
        <w:tabs>
          <w:tab w:leader="none" w:pos="2833" w:val="left"/>
        </w:tabs>
        <w:numPr>
          <w:ilvl w:val="1"/>
          <w:numId w:val="43"/>
        </w:numPr>
        <w:rPr>
          <w:rFonts w:ascii="Arial" w:cs="Arial" w:eastAsia="Arial" w:hAnsi="Arial"/>
          <w:sz w:val="22"/>
          <w:szCs w:val="22"/>
          <w:color w:val="auto"/>
        </w:rPr>
      </w:pPr>
      <w:r>
        <w:rPr>
          <w:rFonts w:ascii="Arial" w:cs="Arial" w:eastAsia="Arial" w:hAnsi="Arial"/>
          <w:sz w:val="22"/>
          <w:szCs w:val="22"/>
          <w:color w:val="auto"/>
        </w:rPr>
        <w:t>to determine the persons to whom, and the time or times at which, Awards shall be granted and the number of shares of Stock, units or monetary value to be subject to each Award;</w:t>
      </w:r>
    </w:p>
    <w:p>
      <w:pPr>
        <w:spacing w:after="0" w:line="215" w:lineRule="exact"/>
        <w:rPr>
          <w:rFonts w:ascii="Arial" w:cs="Arial" w:eastAsia="Arial" w:hAnsi="Arial"/>
          <w:sz w:val="22"/>
          <w:szCs w:val="22"/>
          <w:color w:val="auto"/>
        </w:rPr>
      </w:pPr>
    </w:p>
    <w:p>
      <w:pPr>
        <w:ind w:left="2860" w:hanging="907"/>
        <w:spacing w:after="0"/>
        <w:tabs>
          <w:tab w:leader="none" w:pos="28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to determine the type of Award granted;</w:t>
      </w:r>
    </w:p>
    <w:p>
      <w:pPr>
        <w:spacing w:after="0" w:line="260" w:lineRule="exact"/>
        <w:rPr>
          <w:rFonts w:ascii="Arial" w:cs="Arial" w:eastAsia="Arial" w:hAnsi="Arial"/>
          <w:sz w:val="22"/>
          <w:szCs w:val="22"/>
          <w:color w:val="auto"/>
        </w:rPr>
      </w:pPr>
    </w:p>
    <w:p>
      <w:pPr>
        <w:ind w:left="2840" w:hanging="887"/>
        <w:spacing w:after="0"/>
        <w:tabs>
          <w:tab w:leader="none" w:pos="284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to determine the Fair Market Value of shares of Stock or other property;</w:t>
      </w:r>
    </w:p>
    <w:p>
      <w:pPr>
        <w:spacing w:after="0" w:line="260" w:lineRule="exact"/>
        <w:rPr>
          <w:rFonts w:ascii="Arial" w:cs="Arial" w:eastAsia="Arial" w:hAnsi="Arial"/>
          <w:sz w:val="22"/>
          <w:szCs w:val="22"/>
          <w:color w:val="auto"/>
        </w:rPr>
      </w:pPr>
    </w:p>
    <w:p>
      <w:pPr>
        <w:ind w:right="100" w:firstLine="1953"/>
        <w:spacing w:after="0" w:line="286" w:lineRule="auto"/>
        <w:tabs>
          <w:tab w:leader="none" w:pos="2845" w:val="left"/>
        </w:tabs>
        <w:numPr>
          <w:ilvl w:val="1"/>
          <w:numId w:val="43"/>
        </w:numPr>
        <w:rPr>
          <w:rFonts w:ascii="Arial" w:cs="Arial" w:eastAsia="Arial" w:hAnsi="Arial"/>
          <w:sz w:val="19"/>
          <w:szCs w:val="19"/>
          <w:color w:val="auto"/>
        </w:rPr>
      </w:pPr>
      <w:r>
        <w:rPr>
          <w:rFonts w:ascii="Arial" w:cs="Arial" w:eastAsia="Arial" w:hAnsi="Arial"/>
          <w:sz w:val="19"/>
          <w:szCs w:val="19"/>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Award, including by the withholding or delivery of shares of Stock,</w:t>
      </w:r>
    </w:p>
    <w:p>
      <w:pPr>
        <w:spacing w:after="0" w:line="2" w:lineRule="exact"/>
        <w:rPr>
          <w:rFonts w:ascii="Arial" w:cs="Arial" w:eastAsia="Arial" w:hAnsi="Arial"/>
          <w:sz w:val="19"/>
          <w:szCs w:val="19"/>
          <w:color w:val="auto"/>
        </w:rPr>
      </w:pPr>
    </w:p>
    <w:p>
      <w:pPr>
        <w:ind w:firstLine="8"/>
        <w:spacing w:after="0" w:line="292" w:lineRule="auto"/>
        <w:tabs>
          <w:tab w:leader="none" w:pos="366"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the expiration of any Award, (vii) the effect of the Participant’s termination of Service on any of the foregoing, and (viii) all other terms, conditions and restrictions applicable to any Award or shares acquired pursuant thereto not inconsistent with the terms of the Plan;</w:t>
      </w:r>
    </w:p>
    <w:p>
      <w:pPr>
        <w:spacing w:after="0" w:line="192" w:lineRule="exact"/>
        <w:rPr>
          <w:rFonts w:ascii="Arial" w:cs="Arial" w:eastAsia="Arial" w:hAnsi="Arial"/>
          <w:sz w:val="19"/>
          <w:szCs w:val="19"/>
          <w:color w:val="auto"/>
        </w:rPr>
      </w:pPr>
    </w:p>
    <w:p>
      <w:pPr>
        <w:ind w:left="2840" w:hanging="887"/>
        <w:spacing w:after="0"/>
        <w:tabs>
          <w:tab w:leader="none" w:pos="2840" w:val="left"/>
        </w:tabs>
        <w:numPr>
          <w:ilvl w:val="1"/>
          <w:numId w:val="44"/>
        </w:numPr>
        <w:rPr>
          <w:rFonts w:ascii="Arial" w:cs="Arial" w:eastAsia="Arial" w:hAnsi="Arial"/>
          <w:sz w:val="19"/>
          <w:szCs w:val="19"/>
          <w:color w:val="auto"/>
        </w:rPr>
      </w:pPr>
      <w:r>
        <w:rPr>
          <w:rFonts w:ascii="Arial" w:cs="Arial" w:eastAsia="Arial" w:hAnsi="Arial"/>
          <w:sz w:val="19"/>
          <w:szCs w:val="19"/>
          <w:color w:val="auto"/>
        </w:rPr>
        <w:t>to determine whether an Award will be settled in shares of Stock, cash, or in any combination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42" w:lineRule="exact"/>
        <w:rPr>
          <w:rFonts w:ascii="Arial" w:cs="Arial" w:eastAsia="Arial" w:hAnsi="Arial"/>
          <w:sz w:val="19"/>
          <w:szCs w:val="19"/>
          <w:color w:val="auto"/>
        </w:rPr>
      </w:pPr>
    </w:p>
    <w:p>
      <w:pPr>
        <w:ind w:left="2820" w:hanging="867"/>
        <w:spacing w:after="0"/>
        <w:tabs>
          <w:tab w:leader="none" w:pos="282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to approve one or more forms of Award Agreement;</w:t>
      </w:r>
    </w:p>
    <w:p>
      <w:pPr>
        <w:spacing w:after="0" w:line="260" w:lineRule="exact"/>
        <w:rPr>
          <w:rFonts w:ascii="Arial" w:cs="Arial" w:eastAsia="Arial" w:hAnsi="Arial"/>
          <w:sz w:val="22"/>
          <w:szCs w:val="22"/>
          <w:color w:val="auto"/>
        </w:rPr>
      </w:pPr>
    </w:p>
    <w:p>
      <w:pPr>
        <w:ind w:right="240" w:firstLine="1953"/>
        <w:spacing w:after="0" w:line="263" w:lineRule="auto"/>
        <w:tabs>
          <w:tab w:leader="none" w:pos="2845" w:val="left"/>
        </w:tabs>
        <w:numPr>
          <w:ilvl w:val="1"/>
          <w:numId w:val="44"/>
        </w:numPr>
        <w:rPr>
          <w:rFonts w:ascii="Arial" w:cs="Arial" w:eastAsia="Arial" w:hAnsi="Arial"/>
          <w:sz w:val="22"/>
          <w:szCs w:val="22"/>
          <w:color w:val="auto"/>
        </w:rPr>
      </w:pPr>
      <w:r>
        <w:rPr>
          <w:rFonts w:ascii="Arial" w:cs="Arial" w:eastAsia="Arial" w:hAnsi="Arial"/>
          <w:sz w:val="22"/>
          <w:szCs w:val="22"/>
          <w:color w:val="auto"/>
        </w:rPr>
        <w:t>to amend, modify, extend, cancel or renew any Award or to waive any restrictions or conditions applicable to any Award or any shares acquired pursuant thereto;</w:t>
      </w:r>
    </w:p>
    <w:p>
      <w:pPr>
        <w:spacing w:after="0" w:line="215" w:lineRule="exact"/>
        <w:rPr>
          <w:rFonts w:ascii="Arial" w:cs="Arial" w:eastAsia="Arial" w:hAnsi="Arial"/>
          <w:sz w:val="22"/>
          <w:szCs w:val="22"/>
          <w:color w:val="auto"/>
        </w:rPr>
      </w:pPr>
    </w:p>
    <w:p>
      <w:pPr>
        <w:ind w:right="280" w:firstLine="1953"/>
        <w:spacing w:after="0" w:line="287" w:lineRule="auto"/>
        <w:tabs>
          <w:tab w:leader="none" w:pos="2845" w:val="left"/>
        </w:tabs>
        <w:numPr>
          <w:ilvl w:val="1"/>
          <w:numId w:val="44"/>
        </w:numPr>
        <w:rPr>
          <w:rFonts w:ascii="Arial" w:cs="Arial" w:eastAsia="Arial" w:hAnsi="Arial"/>
          <w:sz w:val="21"/>
          <w:szCs w:val="21"/>
          <w:color w:val="auto"/>
        </w:rPr>
      </w:pPr>
      <w:r>
        <w:rPr>
          <w:rFonts w:ascii="Arial" w:cs="Arial" w:eastAsia="Arial" w:hAnsi="Arial"/>
          <w:sz w:val="21"/>
          <w:szCs w:val="21"/>
          <w:color w:val="auto"/>
        </w:rPr>
        <w:t>to accelerate, continue, extend or defer the exercisability or vesting of any Award or any shares acquired pursuant thereto, including with respect to the period following a Participant’s termination of Service;</w:t>
      </w:r>
    </w:p>
    <w:p>
      <w:pPr>
        <w:spacing w:after="0" w:line="192" w:lineRule="exact"/>
        <w:rPr>
          <w:rFonts w:ascii="Arial" w:cs="Arial" w:eastAsia="Arial" w:hAnsi="Arial"/>
          <w:sz w:val="21"/>
          <w:szCs w:val="21"/>
          <w:color w:val="auto"/>
        </w:rPr>
      </w:pPr>
    </w:p>
    <w:p>
      <w:pPr>
        <w:jc w:val="both"/>
        <w:ind w:right="200" w:firstLine="1953"/>
        <w:spacing w:after="0" w:line="250" w:lineRule="auto"/>
        <w:tabs>
          <w:tab w:leader="none" w:pos="2797" w:val="left"/>
        </w:tabs>
        <w:numPr>
          <w:ilvl w:val="1"/>
          <w:numId w:val="44"/>
        </w:numPr>
        <w:rPr>
          <w:rFonts w:ascii="Arial" w:cs="Arial" w:eastAsia="Arial" w:hAnsi="Arial"/>
          <w:sz w:val="22"/>
          <w:szCs w:val="22"/>
          <w:color w:val="auto"/>
        </w:rPr>
      </w:pPr>
      <w:r>
        <w:rPr>
          <w:rFonts w:ascii="Arial" w:cs="Arial" w:eastAsia="Arial" w:hAnsi="Arial"/>
          <w:sz w:val="22"/>
          <w:szCs w:val="22"/>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or regulations of or to accommodate the tax policy, accounting principles or custom of, foreign jurisdictions whose citizens may be granted Awards; and</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A- 10</w:t>
      </w:r>
    </w:p>
    <w:p>
      <w:pPr>
        <w:sectPr>
          <w:pgSz w:w="11900" w:h="16838" w:orient="portrait"/>
          <w:cols w:equalWidth="0" w:num="1">
            <w:col w:w="11360"/>
          </w:cols>
          <w:pgMar w:left="240" w:top="591" w:right="299" w:bottom="1440" w:gutter="0" w:footer="0" w:header="0"/>
        </w:sectPr>
      </w:pPr>
    </w:p>
    <w:bookmarkStart w:id="44" w:name="page45"/>
    <w:bookmarkEnd w:id="44"/>
    <w:p>
      <w:pPr>
        <w:ind w:right="40" w:firstLine="1953"/>
        <w:spacing w:after="0" w:line="271" w:lineRule="auto"/>
        <w:tabs>
          <w:tab w:leader="none" w:pos="2797" w:val="left"/>
        </w:tabs>
        <w:numPr>
          <w:ilvl w:val="0"/>
          <w:numId w:val="45"/>
        </w:numPr>
        <w:rPr>
          <w:rFonts w:ascii="Arial" w:cs="Arial" w:eastAsia="Arial" w:hAnsi="Arial"/>
          <w:sz w:val="21"/>
          <w:szCs w:val="21"/>
          <w:color w:val="auto"/>
        </w:rPr>
      </w:pPr>
      <w:r>
        <w:rPr>
          <w:rFonts w:ascii="Arial" w:cs="Arial" w:eastAsia="Arial" w:hAnsi="Arial"/>
          <w:sz w:val="21"/>
          <w:szCs w:val="21"/>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202" w:lineRule="exact"/>
        <w:rPr>
          <w:sz w:val="20"/>
          <w:szCs w:val="20"/>
          <w:color w:val="auto"/>
        </w:rPr>
      </w:pPr>
    </w:p>
    <w:p>
      <w:pPr>
        <w:ind w:firstLine="1297"/>
        <w:spacing w:after="0" w:line="258"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b w:val="1"/>
          <w:bCs w:val="1"/>
          <w:color w:val="auto"/>
        </w:rPr>
        <w:t>Indemnification.</w:t>
      </w:r>
      <w:r>
        <w:rPr>
          <w:rFonts w:ascii="Arial" w:cs="Arial" w:eastAsia="Arial" w:hAnsi="Arial"/>
          <w:sz w:val="21"/>
          <w:szCs w:val="21"/>
          <w:color w:val="auto"/>
        </w:rPr>
        <w:t xml:space="preserve"> In addition to such other rights of indemnification as they may have as members of the Board or the Committee or as officers or employees of the Participating Company Group,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221" w:lineRule="exact"/>
        <w:rPr>
          <w:sz w:val="20"/>
          <w:szCs w:val="20"/>
          <w:color w:val="auto"/>
        </w:rPr>
      </w:pPr>
    </w:p>
    <w:p>
      <w:pPr>
        <w:ind w:left="1040" w:hanging="384"/>
        <w:spacing w:after="0"/>
        <w:tabs>
          <w:tab w:leader="none" w:pos="104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SHARES SUBJECT TO PLAN</w:t>
      </w:r>
      <w:r>
        <w:rPr>
          <w:rFonts w:ascii="Arial" w:cs="Arial" w:eastAsia="Arial" w:hAnsi="Arial"/>
          <w:sz w:val="22"/>
          <w:szCs w:val="22"/>
          <w:b w:val="1"/>
          <w:bCs w:val="1"/>
          <w:color w:val="auto"/>
        </w:rPr>
        <w:t>.</w:t>
      </w:r>
    </w:p>
    <w:p>
      <w:pPr>
        <w:spacing w:after="0" w:line="260" w:lineRule="exact"/>
        <w:rPr>
          <w:sz w:val="20"/>
          <w:szCs w:val="20"/>
          <w:color w:val="auto"/>
        </w:rPr>
      </w:pPr>
    </w:p>
    <w:p>
      <w:pPr>
        <w:ind w:firstLine="1297"/>
        <w:spacing w:after="0" w:line="291"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b w:val="1"/>
          <w:bCs w:val="1"/>
          <w:color w:val="auto"/>
        </w:rPr>
        <w:t>Maximum Number of Shares Issuable.</w:t>
      </w:r>
      <w:r>
        <w:rPr>
          <w:rFonts w:ascii="Arial" w:cs="Arial" w:eastAsia="Arial" w:hAnsi="Arial"/>
          <w:sz w:val="19"/>
          <w:szCs w:val="19"/>
          <w:color w:val="auto"/>
        </w:rPr>
        <w:t xml:space="preserve"> Subject to adjustment as provided in Sections 4.2, 4.3 and 4.4, the maximum aggregate number of shares of Stock that may be issued under the Original Plan and First Amended and Restated Plan shall be equal to 54,250,208 shares, and shall consist of authorized but unissued or reacquired shares of Stock or any combination thereof. Subject to adjustment as provided in Sections 4.2, 4.3 and 4.4, the maximum aggregate number of shares of Stock that may be issued under the Second Amended and Restated Plan shall be equal to 54,251,000, and shall consist of authorized but unissued or reacquired shares of Stock or any combination thereof. Subject to adjustment as provided in Sections 4.2, 4.3 and 4.4, the maximum aggregate number of shares of Stock that may be issued under the Third Amended and Restated Plan shall be equal to 83,186,000, and shall consist of authorized but unissued or reacquired shares of Stock or any combination thereof.</w:t>
      </w:r>
    </w:p>
    <w:p>
      <w:pPr>
        <w:spacing w:after="0" w:line="19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color w:val="auto"/>
        </w:rPr>
        <w:t xml:space="preserve">Annual Increase in Maximum Number of Shares Issuable. </w:t>
      </w:r>
      <w:r>
        <w:rPr>
          <w:rFonts w:ascii="Arial" w:cs="Arial" w:eastAsia="Arial" w:hAnsi="Arial"/>
          <w:sz w:val="19"/>
          <w:szCs w:val="19"/>
          <w:color w:val="auto"/>
        </w:rPr>
        <w:t>Subject to adjustment as provided in</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Section 4.4, the maximum aggregate number of shares of Stock that may be issued under the Original Plan and First Amended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Restated Plan as set forth in Section 4.1 shall be cumulatively increased on January 1, 2009 and on each subsequent January 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through and including January 1, 2016, by a number of shares (the “Annual Increase”) equal to the smaller of (i) two percent (2%)</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of the number of shares of Stock issued and outstanding on the immediately preceding December 31 or (ii) an amount determined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by the Board. Subject to adjustment as provided in Section 4.4, the maximum aggregate number of shares of Stock that may be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issued under the Second Amended and Restated Plan as set forth in Section 4.1 shall be cumulatively increased on January 1, 2017</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and on each subsequent January 1, through and including January 1, 2026, by the Annual Increase.Subject to adjustment as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provided in Section 4.4, the maximum aggregate number of shares of Stock that may be issued under the Third Amended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Restated Plan as set forth in Section 4.1 shall be cumulatively increased on January 1, 2020 and on each subsequent January 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through and including January 1, 2029, by the Annual Increase.</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A- 11</w:t>
      </w:r>
    </w:p>
    <w:p>
      <w:pPr>
        <w:sectPr>
          <w:pgSz w:w="11900" w:h="16838" w:orient="portrait"/>
          <w:cols w:equalWidth="0" w:num="1">
            <w:col w:w="11380"/>
          </w:cols>
          <w:pgMar w:left="240" w:top="591" w:right="279" w:bottom="1440" w:gutter="0" w:footer="0" w:header="0"/>
        </w:sectPr>
      </w:pPr>
    </w:p>
    <w:bookmarkStart w:id="45" w:name="page46"/>
    <w:bookmarkEnd w:id="45"/>
    <w:p>
      <w:pPr>
        <w:ind w:firstLine="1297"/>
        <w:spacing w:after="0" w:line="288"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color w:val="auto"/>
        </w:rPr>
        <w:t>Share Accounting.</w:t>
      </w:r>
      <w:r>
        <w:rPr>
          <w:rFonts w:ascii="Arial" w:cs="Arial" w:eastAsia="Arial" w:hAnsi="Arial"/>
          <w:sz w:val="19"/>
          <w:szCs w:val="19"/>
          <w:color w:val="auto"/>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original purchase price, the shares of Stock allocable to the terminated portion of such Award or such forfeited or repurchased shares of Stock shall again be available for issuance under the Plan. Shares of Stock shall not be deemed to have been issued pursuant to the Plan (a) with respect to any portion of an Award that is settled in cash or (b) to the extent such shares are withheld or reacquired by the Company in satisfaction of tax withholding obligations pursuant to Section 14.2. Upon payment in shares of Stock pursuant to the exercise or settlement of an Award, including an SAR, the number of shares available for issuance under the Plan shall be reduced only by the number of shares actually issued in such payment. If the exercise price of an Option is paid by tender to the Company, or attestation to the ownership, of shares of Stock owned by the Participant, or by means of a Net-Exercise, the number of shares available for issuance under the Plan shall be reduced by the net number of shares for which the Option is exercised.</w:t>
      </w:r>
    </w:p>
    <w:p>
      <w:pPr>
        <w:spacing w:after="0" w:line="195" w:lineRule="exact"/>
        <w:rPr>
          <w:sz w:val="20"/>
          <w:szCs w:val="20"/>
          <w:color w:val="auto"/>
        </w:rPr>
      </w:pPr>
    </w:p>
    <w:p>
      <w:pPr>
        <w:ind w:right="80" w:firstLine="1297"/>
        <w:spacing w:after="0" w:line="285"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b w:val="1"/>
          <w:bCs w:val="1"/>
          <w:color w:val="auto"/>
        </w:rPr>
        <w:t>Adjustments for Changes in Capital Structure</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adjustments shall be made in the number and kind of shares subject to the Plan and to any outstanding Awards, in the Annual Increase set forth in Section 4.2, in the ISO Share Issuance Limit set forth in Section 5.3(a)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New Shares</w:t>
      </w:r>
      <w:r>
        <w:rPr>
          <w:rFonts w:ascii="Arial" w:cs="Arial" w:eastAsia="Arial" w:hAnsi="Arial"/>
          <w:sz w:val="19"/>
          <w:szCs w:val="19"/>
          <w:i w:val="1"/>
          <w:iCs w:val="1"/>
          <w:color w:val="auto"/>
        </w:rPr>
        <w:t>”</w:t>
      </w:r>
      <w:r>
        <w:rPr>
          <w:rFonts w:ascii="Arial" w:cs="Arial" w:eastAsia="Arial" w:hAnsi="Arial"/>
          <w:sz w:val="19"/>
          <w:szCs w:val="19"/>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Any fractional share resulting from an adjustment pursuant to this Section 4.4 shall be rounded down to the nearest whole number, and in no event may the exercise or purchase price under any Award be decreased to an amount less than the par value, if any, of the stock subject to such Award. The Committee in its sole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200" w:lineRule="exact"/>
        <w:rPr>
          <w:sz w:val="20"/>
          <w:szCs w:val="20"/>
          <w:color w:val="auto"/>
        </w:rPr>
      </w:pPr>
    </w:p>
    <w:p>
      <w:pPr>
        <w:spacing w:after="0" w:line="262"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The Committee may, without affecting the number of shares of Stock reserved or available hereunder, authorize the issuance or assumption of benefits under this Plan in connection with any merger, consolidation, acquisition of property or stock, or reorganization upon such terms and conditions as it may deem appropriate, subject to compliance with Sections 409A and 422 and any other applicable provisions of the Code and any related guidance issued by the U.S. Treasury Department.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A- 12</w:t>
      </w:r>
    </w:p>
    <w:p>
      <w:pPr>
        <w:sectPr>
          <w:pgSz w:w="11900" w:h="16838" w:orient="portrait"/>
          <w:cols w:equalWidth="0" w:num="1">
            <w:col w:w="11420"/>
          </w:cols>
          <w:pgMar w:left="240" w:top="585" w:right="239" w:bottom="1440" w:gutter="0" w:footer="0" w:header="0"/>
        </w:sectPr>
      </w:pPr>
    </w:p>
    <w:bookmarkStart w:id="46" w:name="page47"/>
    <w:bookmarkEnd w:id="46"/>
    <w:p>
      <w:pPr>
        <w:ind w:left="1040" w:hanging="384"/>
        <w:spacing w:after="0"/>
        <w:tabs>
          <w:tab w:leader="none" w:pos="1040"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ELIGIBILITY, PARTICIPATION AND AWARD LIMITATIONS</w:t>
      </w:r>
      <w:r>
        <w:rPr>
          <w:rFonts w:ascii="Arial" w:cs="Arial" w:eastAsia="Arial" w:hAnsi="Arial"/>
          <w:sz w:val="22"/>
          <w:szCs w:val="22"/>
          <w:b w:val="1"/>
          <w:bCs w:val="1"/>
          <w:color w:val="auto"/>
        </w:rPr>
        <w:t>.</w:t>
      </w:r>
    </w:p>
    <w:p>
      <w:pPr>
        <w:spacing w:after="0" w:line="26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color w:val="auto"/>
        </w:rPr>
        <w:t xml:space="preserve">Persons Eligible for Awards. </w:t>
      </w:r>
      <w:r>
        <w:rPr>
          <w:rFonts w:ascii="Arial" w:cs="Arial" w:eastAsia="Arial" w:hAnsi="Arial"/>
          <w:sz w:val="19"/>
          <w:szCs w:val="19"/>
          <w:color w:val="auto"/>
        </w:rPr>
        <w:t>Awards may be granted only to Employees, Directors and Consultants.</w:t>
      </w:r>
    </w:p>
    <w:p>
      <w:pPr>
        <w:spacing w:after="0" w:line="260" w:lineRule="exact"/>
        <w:rPr>
          <w:sz w:val="20"/>
          <w:szCs w:val="20"/>
          <w:color w:val="auto"/>
        </w:rPr>
      </w:pPr>
    </w:p>
    <w:p>
      <w:pPr>
        <w:jc w:val="both"/>
        <w:ind w:right="80" w:firstLine="1297"/>
        <w:spacing w:after="0" w:line="256"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color w:val="auto"/>
        </w:rPr>
        <w:t>Participation in the Plan.</w:t>
      </w:r>
      <w:r>
        <w:rPr>
          <w:rFonts w:ascii="Arial" w:cs="Arial" w:eastAsia="Arial" w:hAnsi="Arial"/>
          <w:sz w:val="22"/>
          <w:szCs w:val="22"/>
          <w:color w:val="auto"/>
        </w:rPr>
        <w:t xml:space="preserve">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21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b w:val="1"/>
          <w:bCs w:val="1"/>
          <w:color w:val="auto"/>
        </w:rPr>
        <w:t>Incentive Stock Option Limitations.</w:t>
      </w:r>
    </w:p>
    <w:p>
      <w:pPr>
        <w:spacing w:after="0" w:line="260" w:lineRule="exact"/>
        <w:rPr>
          <w:sz w:val="20"/>
          <w:szCs w:val="20"/>
          <w:color w:val="auto"/>
        </w:rPr>
      </w:pPr>
    </w:p>
    <w:p>
      <w:pPr>
        <w:ind w:right="20" w:firstLine="1953"/>
        <w:spacing w:after="0" w:line="287" w:lineRule="auto"/>
        <w:tabs>
          <w:tab w:leader="none" w:pos="2833" w:val="left"/>
        </w:tabs>
        <w:numPr>
          <w:ilvl w:val="0"/>
          <w:numId w:val="48"/>
        </w:numPr>
        <w:rPr>
          <w:rFonts w:ascii="Arial" w:cs="Arial" w:eastAsia="Arial" w:hAnsi="Arial"/>
          <w:sz w:val="19"/>
          <w:szCs w:val="19"/>
          <w:color w:val="auto"/>
        </w:rPr>
      </w:pPr>
      <w:r>
        <w:rPr>
          <w:rFonts w:ascii="Arial" w:cs="Arial" w:eastAsia="Arial" w:hAnsi="Arial"/>
          <w:sz w:val="19"/>
          <w:szCs w:val="19"/>
          <w:b w:val="1"/>
          <w:bCs w:val="1"/>
          <w:color w:val="auto"/>
        </w:rPr>
        <w:t xml:space="preserve">Maximum Number of Shares Issuable Pursuant to Incentive Stock Options. </w:t>
      </w:r>
      <w:r>
        <w:rPr>
          <w:rFonts w:ascii="Arial" w:cs="Arial" w:eastAsia="Arial" w:hAnsi="Arial"/>
          <w:sz w:val="19"/>
          <w:szCs w:val="19"/>
          <w:color w:val="auto"/>
        </w:rPr>
        <w:t>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adjustment as provided in Section 4.4, the maximum aggregate number of shares of Stock that may be issued under the Original Plan and First Amended and Restated Plan pursuant to the exercise of Incentive Stock Options shall not exceed 6,473,858 shares, cumulatively increased on January 1, 2009 and on each subsequent January 1, through and including January 1, 2016 by a number of shares equal to the Annual Increase as determined under Section 4.2. Subject to adjustment as provided in Section 4.4, the maximum aggregate number of shares of Stock that may be issued under the Second Amended and Restated Plan pursuant to the exercise of Incentive Stock Options shall not exceed 54,251,000, cumulatively increased on January 1, 2017 and on each subsequent January 1, through and including January 1, 2026 by a number of shares equal to the Annual Increase as determined under Section 4.2. Subject to adjustment as provided in Section 4.4, the maximum aggregate number of shares of Stock that may be issued under the Third Amended and Restated Plan, pursuant to the exercise of Incentive Stock Options shall not exceed 83,186,000, cumulatively increased on January 1, 2020 and on each subsequent January 1, through and including January 1, 2029 by a number of shares equal to the Annual Increase as determined under Section 4.2. The maximum aggregate number of shares of Stock that may be issued under the Plan pursuant to all Awards other than Incentive Stock Options shall be the number of shares determined in accordance with Section 4.1, subject to adjustment as provided in Sections 4.2, 4.3 and 4.4.</w:t>
      </w:r>
    </w:p>
    <w:p>
      <w:pPr>
        <w:spacing w:after="0" w:line="191" w:lineRule="exact"/>
        <w:rPr>
          <w:rFonts w:ascii="Arial" w:cs="Arial" w:eastAsia="Arial" w:hAnsi="Arial"/>
          <w:sz w:val="19"/>
          <w:szCs w:val="19"/>
          <w:color w:val="auto"/>
        </w:rPr>
      </w:pPr>
    </w:p>
    <w:p>
      <w:pPr>
        <w:ind w:firstLine="1953"/>
        <w:spacing w:after="0" w:line="261" w:lineRule="auto"/>
        <w:tabs>
          <w:tab w:leader="none" w:pos="2845" w:val="left"/>
        </w:tabs>
        <w:numPr>
          <w:ilvl w:val="0"/>
          <w:numId w:val="48"/>
        </w:numPr>
        <w:rPr>
          <w:rFonts w:ascii="Arial" w:cs="Arial" w:eastAsia="Arial" w:hAnsi="Arial"/>
          <w:sz w:val="21"/>
          <w:szCs w:val="21"/>
          <w:color w:val="auto"/>
        </w:rPr>
      </w:pPr>
      <w:r>
        <w:rPr>
          <w:rFonts w:ascii="Arial" w:cs="Arial" w:eastAsia="Arial" w:hAnsi="Arial"/>
          <w:sz w:val="21"/>
          <w:szCs w:val="21"/>
          <w:b w:val="1"/>
          <w:bCs w:val="1"/>
          <w:color w:val="auto"/>
        </w:rPr>
        <w:t xml:space="preserve">Persons Eligible. </w:t>
      </w:r>
      <w:r>
        <w:rPr>
          <w:rFonts w:ascii="Arial" w:cs="Arial" w:eastAsia="Arial" w:hAnsi="Arial"/>
          <w:sz w:val="21"/>
          <w:szCs w:val="21"/>
          <w:color w:val="auto"/>
        </w:rPr>
        <w:t>An Incentive Stock Option may be granted only to a person who, on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effective date of grant, is an Employee of the Company, a Parent Corporation or a Subsidiary Corporation (each being an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ISO-Qualifying Corporation</w:t>
      </w:r>
      <w:r>
        <w:rPr>
          <w:rFonts w:ascii="Arial" w:cs="Arial" w:eastAsia="Arial" w:hAnsi="Arial"/>
          <w:sz w:val="21"/>
          <w:szCs w:val="21"/>
          <w:i w:val="1"/>
          <w:iCs w:val="1"/>
          <w:color w:val="auto"/>
        </w:rPr>
        <w:t>”</w:t>
      </w:r>
      <w:r>
        <w:rPr>
          <w:rFonts w:ascii="Arial" w:cs="Arial" w:eastAsia="Arial" w:hAnsi="Arial"/>
          <w:sz w:val="21"/>
          <w:szCs w:val="21"/>
          <w:color w:val="auto"/>
        </w:rPr>
        <w:t>). Any person who is not an Employee of an ISO-Qualifying Corporation on the effective date of the grant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an Option to such person may be granted only a Nonstatutory Stock Option. An Incentive Stock Option granted to a prospective Employee upon the condition that such person become an Employee of an ISO-Qualifying Corporation shall be deemed granted effective on the date such person commences Service with an ISO-Qualifying Corporation, with an exercise price determined as of such date in accordance with Section 6.1.</w:t>
      </w:r>
    </w:p>
    <w:p>
      <w:pPr>
        <w:spacing w:after="0" w:line="214" w:lineRule="exact"/>
        <w:rPr>
          <w:rFonts w:ascii="Arial" w:cs="Arial" w:eastAsia="Arial" w:hAnsi="Arial"/>
          <w:sz w:val="21"/>
          <w:szCs w:val="21"/>
          <w:color w:val="auto"/>
        </w:rPr>
      </w:pPr>
    </w:p>
    <w:p>
      <w:pPr>
        <w:ind w:firstLine="1953"/>
        <w:spacing w:after="0" w:line="260" w:lineRule="auto"/>
        <w:tabs>
          <w:tab w:leader="none" w:pos="2833" w:val="left"/>
        </w:tabs>
        <w:numPr>
          <w:ilvl w:val="0"/>
          <w:numId w:val="48"/>
        </w:numPr>
        <w:rPr>
          <w:rFonts w:ascii="Arial" w:cs="Arial" w:eastAsia="Arial" w:hAnsi="Arial"/>
          <w:sz w:val="21"/>
          <w:szCs w:val="21"/>
          <w:color w:val="auto"/>
        </w:rPr>
      </w:pPr>
      <w:r>
        <w:rPr>
          <w:rFonts w:ascii="Arial" w:cs="Arial" w:eastAsia="Arial" w:hAnsi="Arial"/>
          <w:sz w:val="21"/>
          <w:szCs w:val="21"/>
          <w:b w:val="1"/>
          <w:bCs w:val="1"/>
          <w:color w:val="auto"/>
        </w:rPr>
        <w:t xml:space="preserve">Fair Market Value Limitation. </w:t>
      </w:r>
      <w:r>
        <w:rPr>
          <w:rFonts w:ascii="Arial" w:cs="Arial" w:eastAsia="Arial" w:hAnsi="Arial"/>
          <w:sz w:val="21"/>
          <w:szCs w:val="21"/>
          <w:color w:val="auto"/>
        </w:rPr>
        <w:t>To the extent that Options designated as Incentive Stock Options</w:t>
      </w:r>
      <w:r>
        <w:rPr>
          <w:rFonts w:ascii="Arial" w:cs="Arial" w:eastAsia="Arial" w:hAnsi="Arial"/>
          <w:sz w:val="21"/>
          <w:szCs w:val="21"/>
          <w:b w:val="1"/>
          <w:bCs w:val="1"/>
          <w:color w:val="auto"/>
        </w:rPr>
        <w:t xml:space="preserve"> </w:t>
      </w:r>
      <w:r>
        <w:rPr>
          <w:rFonts w:ascii="Arial" w:cs="Arial" w:eastAsia="Arial" w:hAnsi="Arial"/>
          <w:sz w:val="21"/>
          <w:szCs w:val="21"/>
          <w:color w:val="auto"/>
        </w:rPr>
        <w:t>(granted under all stock option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A- 13</w:t>
      </w:r>
    </w:p>
    <w:p>
      <w:pPr>
        <w:sectPr>
          <w:pgSz w:w="11900" w:h="16838" w:orient="portrait"/>
          <w:cols w:equalWidth="0" w:num="1">
            <w:col w:w="11420"/>
          </w:cols>
          <w:pgMar w:left="240" w:top="585" w:right="239" w:bottom="1440" w:gutter="0" w:footer="0" w:header="0"/>
        </w:sectPr>
      </w:pPr>
    </w:p>
    <w:bookmarkStart w:id="47" w:name="page48"/>
    <w:bookmarkEnd w:id="47"/>
    <w:p>
      <w:pPr>
        <w:ind w:right="200"/>
        <w:spacing w:after="0" w:line="263" w:lineRule="auto"/>
        <w:rPr>
          <w:sz w:val="20"/>
          <w:szCs w:val="20"/>
          <w:color w:val="auto"/>
        </w:rPr>
      </w:pPr>
      <w:r>
        <w:rPr>
          <w:rFonts w:ascii="Arial" w:cs="Arial" w:eastAsia="Arial" w:hAnsi="Arial"/>
          <w:sz w:val="21"/>
          <w:szCs w:val="21"/>
          <w:color w:val="auto"/>
        </w:rPr>
        <w:t>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shares issued pursuant to each such portion shall be separately identified.</w:t>
      </w:r>
    </w:p>
    <w:p>
      <w:pPr>
        <w:spacing w:after="0" w:line="210" w:lineRule="exact"/>
        <w:rPr>
          <w:sz w:val="20"/>
          <w:szCs w:val="20"/>
          <w:color w:val="auto"/>
        </w:rPr>
      </w:pPr>
    </w:p>
    <w:p>
      <w:pPr>
        <w:ind w:left="1040" w:hanging="384"/>
        <w:spacing w:after="0"/>
        <w:tabs>
          <w:tab w:leader="none" w:pos="1040"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 OPTIONS</w:t>
      </w:r>
      <w:r>
        <w:rPr>
          <w:rFonts w:ascii="Arial" w:cs="Arial" w:eastAsia="Arial" w:hAnsi="Arial"/>
          <w:sz w:val="22"/>
          <w:szCs w:val="22"/>
          <w:b w:val="1"/>
          <w:bCs w:val="1"/>
          <w:color w:val="auto"/>
        </w:rPr>
        <w:t>.</w:t>
      </w:r>
    </w:p>
    <w:p>
      <w:pPr>
        <w:spacing w:after="0" w:line="266" w:lineRule="exact"/>
        <w:rPr>
          <w:sz w:val="20"/>
          <w:szCs w:val="20"/>
          <w:color w:val="auto"/>
        </w:rPr>
      </w:pPr>
    </w:p>
    <w:p>
      <w:pPr>
        <w:ind w:right="20" w:firstLine="1297"/>
        <w:spacing w:after="0" w:line="263" w:lineRule="auto"/>
        <w:rPr>
          <w:sz w:val="20"/>
          <w:szCs w:val="20"/>
          <w:color w:val="auto"/>
        </w:rPr>
      </w:pPr>
      <w:r>
        <w:rPr>
          <w:rFonts w:ascii="Arial" w:cs="Arial" w:eastAsia="Arial" w:hAnsi="Arial"/>
          <w:sz w:val="21"/>
          <w:szCs w:val="21"/>
          <w:color w:val="auto"/>
        </w:rPr>
        <w:t>Options shall be evidenced by Award Agreements specifying the number of shares of Stock covered thereby, in such form as the Committee shall from time to time establish. No Option or purported Option shall be a valid and binding obligation of the Company unless evidenced by a fully executed Award Agreement. Award Agreements evidencing Options may incorporate all or any of the terms of the Plan by reference, including the provisions of Section 16 with respect to Section 409A if applicable, and shall comply with and be subject to the following terms and conditions:</w:t>
      </w:r>
    </w:p>
    <w:p>
      <w:pPr>
        <w:spacing w:after="0" w:line="210" w:lineRule="exact"/>
        <w:rPr>
          <w:sz w:val="20"/>
          <w:szCs w:val="20"/>
          <w:color w:val="auto"/>
        </w:rPr>
      </w:pPr>
    </w:p>
    <w:p>
      <w:pPr>
        <w:ind w:right="20" w:firstLine="1297"/>
        <w:spacing w:after="0" w:line="293"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Exercise Price.</w:t>
      </w:r>
      <w:r>
        <w:rPr>
          <w:rFonts w:ascii="Arial" w:cs="Arial" w:eastAsia="Arial" w:hAnsi="Arial"/>
          <w:sz w:val="19"/>
          <w:szCs w:val="19"/>
          <w:color w:val="auto"/>
        </w:rPr>
        <w:t xml:space="preserve">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186" w:lineRule="exact"/>
        <w:rPr>
          <w:sz w:val="20"/>
          <w:szCs w:val="20"/>
          <w:color w:val="auto"/>
        </w:rPr>
      </w:pPr>
    </w:p>
    <w:p>
      <w:pPr>
        <w:ind w:firstLine="1297"/>
        <w:spacing w:after="0" w:line="293"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color w:val="auto"/>
        </w:rPr>
        <w:t>Exercisability and Term of Options.</w:t>
      </w:r>
      <w:r>
        <w:rPr>
          <w:rFonts w:ascii="Arial" w:cs="Arial" w:eastAsia="Arial" w:hAnsi="Arial"/>
          <w:sz w:val="19"/>
          <w:szCs w:val="19"/>
          <w:color w:val="auto"/>
        </w:rPr>
        <w:t xml:space="preserve">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and (b) no Incentive Stock Option granted to a Ten Percent Owner shall be exercisable after the expiration of five (5) years after the effective date of grant of such Option.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186"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b w:val="1"/>
          <w:bCs w:val="1"/>
          <w:color w:val="auto"/>
        </w:rPr>
        <w:t>Payment of Exercise Price.</w:t>
      </w:r>
    </w:p>
    <w:p>
      <w:pPr>
        <w:spacing w:after="0" w:line="266" w:lineRule="exact"/>
        <w:rPr>
          <w:sz w:val="20"/>
          <w:szCs w:val="20"/>
          <w:color w:val="auto"/>
        </w:rPr>
      </w:pPr>
    </w:p>
    <w:p>
      <w:pPr>
        <w:ind w:firstLine="1953"/>
        <w:spacing w:after="0" w:line="289" w:lineRule="auto"/>
        <w:tabs>
          <w:tab w:leader="none" w:pos="2833"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Forms of Consideration Authorized. </w:t>
      </w:r>
      <w:r>
        <w:rPr>
          <w:rFonts w:ascii="Arial" w:cs="Arial" w:eastAsia="Arial" w:hAnsi="Arial"/>
          <w:sz w:val="19"/>
          <w:szCs w:val="19"/>
          <w:color w:val="auto"/>
        </w:rPr>
        <w:t>Except as otherwise provided below, payment of the exercise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price for the number of shares of Stock being purchased pursuant to any Option shall be made (i) in cash or by check or cash equivalent, (ii) by tender to the Company, or attestation to the ownership, of shares of Stock owned by the Participant having a Fair Market Value not less than the exercise price, (iii) by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Cashless Exercise</w:t>
      </w:r>
      <w:r>
        <w:rPr>
          <w:rFonts w:ascii="Arial" w:cs="Arial" w:eastAsia="Arial" w:hAnsi="Arial"/>
          <w:sz w:val="19"/>
          <w:szCs w:val="19"/>
          <w:i w:val="1"/>
          <w:iCs w:val="1"/>
          <w:color w:val="auto"/>
        </w:rPr>
        <w:t>”</w:t>
      </w:r>
      <w:r>
        <w:rPr>
          <w:rFonts w:ascii="Arial" w:cs="Arial" w:eastAsia="Arial" w:hAnsi="Arial"/>
          <w:sz w:val="19"/>
          <w:szCs w:val="19"/>
          <w:color w:val="auto"/>
        </w:rPr>
        <w:t>), (iv) by delivery of a properly executed notice electing a Net-Exercise, (v) by such other consideration as</w:t>
      </w:r>
      <w:r>
        <w:rPr>
          <w:rFonts w:ascii="Arial" w:cs="Arial" w:eastAsia="Arial" w:hAnsi="Arial"/>
          <w:sz w:val="19"/>
          <w:szCs w:val="19"/>
          <w:i w:val="1"/>
          <w:iCs w:val="1"/>
          <w:color w:val="auto"/>
        </w:rPr>
        <w:t xml:space="preserve"> </w:t>
      </w:r>
      <w:r>
        <w:rPr>
          <w:rFonts w:ascii="Arial" w:cs="Arial" w:eastAsia="Arial" w:hAnsi="Arial"/>
          <w:sz w:val="19"/>
          <w:szCs w:val="19"/>
          <w:color w:val="auto"/>
        </w:rPr>
        <w:t>may be approved by the Committee from time to time to the extent permitted by applicable law, or (vi) by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A- 14</w:t>
      </w:r>
    </w:p>
    <w:p>
      <w:pPr>
        <w:sectPr>
          <w:pgSz w:w="11900" w:h="16838" w:orient="portrait"/>
          <w:cols w:equalWidth="0" w:num="1">
            <w:col w:w="11400"/>
          </w:cols>
          <w:pgMar w:left="240" w:top="591" w:right="259" w:bottom="1440" w:gutter="0" w:footer="0" w:header="0"/>
        </w:sectPr>
      </w:pPr>
    </w:p>
    <w:bookmarkStart w:id="48" w:name="page49"/>
    <w:bookmarkEnd w:id="48"/>
    <w:p>
      <w:pPr>
        <w:ind w:right="540"/>
        <w:spacing w:after="0" w:line="253" w:lineRule="auto"/>
        <w:rPr>
          <w:sz w:val="20"/>
          <w:szCs w:val="20"/>
          <w:color w:val="auto"/>
        </w:rPr>
      </w:pPr>
      <w:r>
        <w:rPr>
          <w:rFonts w:ascii="Arial" w:cs="Arial" w:eastAsia="Arial" w:hAnsi="Arial"/>
          <w:sz w:val="22"/>
          <w:szCs w:val="22"/>
          <w:color w:val="auto"/>
        </w:rPr>
        <w:t>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226" w:lineRule="exact"/>
        <w:rPr>
          <w:sz w:val="20"/>
          <w:szCs w:val="20"/>
          <w:color w:val="auto"/>
        </w:rPr>
      </w:pPr>
    </w:p>
    <w:p>
      <w:pPr>
        <w:ind w:left="2860" w:hanging="907"/>
        <w:spacing w:after="0"/>
        <w:tabs>
          <w:tab w:leader="none" w:pos="2860" w:val="left"/>
        </w:tabs>
        <w:numPr>
          <w:ilvl w:val="0"/>
          <w:numId w:val="51"/>
        </w:numPr>
        <w:rPr>
          <w:rFonts w:ascii="Arial" w:cs="Arial" w:eastAsia="Arial" w:hAnsi="Arial"/>
          <w:sz w:val="22"/>
          <w:szCs w:val="22"/>
          <w:color w:val="auto"/>
        </w:rPr>
      </w:pPr>
      <w:r>
        <w:rPr>
          <w:rFonts w:ascii="Arial" w:cs="Arial" w:eastAsia="Arial" w:hAnsi="Arial"/>
          <w:sz w:val="22"/>
          <w:szCs w:val="22"/>
          <w:b w:val="1"/>
          <w:bCs w:val="1"/>
          <w:i w:val="1"/>
          <w:iCs w:val="1"/>
          <w:color w:val="auto"/>
        </w:rPr>
        <w:t>Limitations on Forms of Consideration.</w:t>
      </w:r>
    </w:p>
    <w:p>
      <w:pPr>
        <w:spacing w:after="0" w:line="254" w:lineRule="exact"/>
        <w:rPr>
          <w:rFonts w:ascii="Arial" w:cs="Arial" w:eastAsia="Arial" w:hAnsi="Arial"/>
          <w:sz w:val="22"/>
          <w:szCs w:val="22"/>
          <w:color w:val="auto"/>
        </w:rPr>
      </w:pPr>
    </w:p>
    <w:p>
      <w:pPr>
        <w:ind w:firstLine="2601"/>
        <w:spacing w:after="0" w:line="261" w:lineRule="auto"/>
        <w:tabs>
          <w:tab w:leader="none" w:pos="3445" w:val="left"/>
        </w:tabs>
        <w:numPr>
          <w:ilvl w:val="1"/>
          <w:numId w:val="51"/>
        </w:numPr>
        <w:rPr>
          <w:rFonts w:ascii="Arial" w:cs="Arial" w:eastAsia="Arial" w:hAnsi="Arial"/>
          <w:sz w:val="21"/>
          <w:szCs w:val="21"/>
          <w:color w:val="auto"/>
        </w:rPr>
      </w:pPr>
      <w:r>
        <w:rPr>
          <w:rFonts w:ascii="Arial" w:cs="Arial" w:eastAsia="Arial" w:hAnsi="Arial"/>
          <w:sz w:val="21"/>
          <w:szCs w:val="21"/>
          <w:b w:val="1"/>
          <w:bCs w:val="1"/>
          <w:color w:val="auto"/>
        </w:rPr>
        <w:t xml:space="preserve">Tender of Stock. </w:t>
      </w:r>
      <w:r>
        <w:rPr>
          <w:rFonts w:ascii="Arial" w:cs="Arial" w:eastAsia="Arial" w:hAnsi="Arial"/>
          <w:sz w:val="21"/>
          <w:szCs w:val="21"/>
          <w:color w:val="auto"/>
        </w:rPr>
        <w:t>Notwithstanding the foregoing, an Option may not be exercised by tender</w:t>
      </w:r>
      <w:r>
        <w:rPr>
          <w:rFonts w:ascii="Arial" w:cs="Arial" w:eastAsia="Arial" w:hAnsi="Arial"/>
          <w:sz w:val="21"/>
          <w:szCs w:val="21"/>
          <w:b w:val="1"/>
          <w:bCs w:val="1"/>
          <w:color w:val="auto"/>
        </w:rPr>
        <w:t xml:space="preserve"> </w:t>
      </w:r>
      <w:r>
        <w:rPr>
          <w:rFonts w:ascii="Arial" w:cs="Arial" w:eastAsia="Arial" w:hAnsi="Arial"/>
          <w:sz w:val="21"/>
          <w:szCs w:val="21"/>
          <w:color w:val="auto"/>
        </w:rPr>
        <w:t>to the Company, or attestation to the ownership, of shares of Stock to the extent such tender or attestation would constitute a violation of the provisions of any law, regulation or agreement restricting the redemption of the Company’s stock. Unless otherwise provided by the Committee, an Option may not be exercised by tender to the Company, or attestation to the ownership, of shares of Stock unless such shares either have been owned by the Participant for more than six (6) months (or such other period, if any, as the Committee may permit) and not used for another Option exercise by attestation during such period, or were not acquired, directly or indirectly, from the Company.</w:t>
      </w:r>
    </w:p>
    <w:p>
      <w:pPr>
        <w:spacing w:after="0" w:line="214" w:lineRule="exact"/>
        <w:rPr>
          <w:rFonts w:ascii="Arial" w:cs="Arial" w:eastAsia="Arial" w:hAnsi="Arial"/>
          <w:sz w:val="21"/>
          <w:szCs w:val="21"/>
          <w:color w:val="auto"/>
        </w:rPr>
      </w:pPr>
    </w:p>
    <w:p>
      <w:pPr>
        <w:ind w:right="60" w:firstLine="2601"/>
        <w:spacing w:after="0" w:line="267" w:lineRule="auto"/>
        <w:tabs>
          <w:tab w:leader="none" w:pos="3505" w:val="left"/>
        </w:tabs>
        <w:numPr>
          <w:ilvl w:val="1"/>
          <w:numId w:val="51"/>
        </w:numPr>
        <w:rPr>
          <w:rFonts w:ascii="Arial" w:cs="Arial" w:eastAsia="Arial" w:hAnsi="Arial"/>
          <w:sz w:val="21"/>
          <w:szCs w:val="21"/>
          <w:color w:val="auto"/>
        </w:rPr>
      </w:pPr>
      <w:r>
        <w:rPr>
          <w:rFonts w:ascii="Arial" w:cs="Arial" w:eastAsia="Arial" w:hAnsi="Arial"/>
          <w:sz w:val="21"/>
          <w:szCs w:val="21"/>
          <w:b w:val="1"/>
          <w:bCs w:val="1"/>
          <w:color w:val="auto"/>
        </w:rPr>
        <w:t xml:space="preserve">Cashless Exercise. </w:t>
      </w:r>
      <w:r>
        <w:rPr>
          <w:rFonts w:ascii="Arial" w:cs="Arial" w:eastAsia="Arial" w:hAnsi="Arial"/>
          <w:sz w:val="21"/>
          <w:szCs w:val="21"/>
          <w:color w:val="auto"/>
        </w:rPr>
        <w:t>The Company reserves, at any and all times, the right, in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20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b w:val="1"/>
          <w:bCs w:val="1"/>
          <w:color w:val="auto"/>
        </w:rPr>
        <w:t>Effect of Termination of Service.</w:t>
      </w:r>
    </w:p>
    <w:p>
      <w:pPr>
        <w:spacing w:after="0" w:line="266" w:lineRule="exact"/>
        <w:rPr>
          <w:sz w:val="20"/>
          <w:szCs w:val="20"/>
          <w:color w:val="auto"/>
        </w:rPr>
      </w:pPr>
    </w:p>
    <w:p>
      <w:pPr>
        <w:ind w:right="240" w:firstLine="1953"/>
        <w:spacing w:after="0" w:line="263" w:lineRule="auto"/>
        <w:tabs>
          <w:tab w:leader="none" w:pos="2833" w:val="left"/>
        </w:tabs>
        <w:numPr>
          <w:ilvl w:val="0"/>
          <w:numId w:val="52"/>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Option Exercisability. </w:t>
      </w:r>
      <w:r>
        <w:rPr>
          <w:rFonts w:ascii="Arial" w:cs="Arial" w:eastAsia="Arial" w:hAnsi="Arial"/>
          <w:sz w:val="21"/>
          <w:szCs w:val="21"/>
          <w:color w:val="auto"/>
        </w:rPr>
        <w:t>Subject to earlier termination of the Option as otherwise provided herein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unless otherwise provided by the Committee in the grant of an Option and set forth in the Award Agreement,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p>
    <w:p>
      <w:pPr>
        <w:spacing w:after="0" w:line="210" w:lineRule="exact"/>
        <w:rPr>
          <w:rFonts w:ascii="Arial" w:cs="Arial" w:eastAsia="Arial" w:hAnsi="Arial"/>
          <w:sz w:val="21"/>
          <w:szCs w:val="21"/>
          <w:color w:val="auto"/>
        </w:rPr>
      </w:pPr>
    </w:p>
    <w:p>
      <w:pPr>
        <w:ind w:right="20" w:firstLine="2601"/>
        <w:spacing w:after="0" w:line="298" w:lineRule="auto"/>
        <w:tabs>
          <w:tab w:leader="none" w:pos="3445" w:val="left"/>
        </w:tabs>
        <w:numPr>
          <w:ilvl w:val="1"/>
          <w:numId w:val="52"/>
        </w:numPr>
        <w:rPr>
          <w:rFonts w:ascii="Arial" w:cs="Arial" w:eastAsia="Arial" w:hAnsi="Arial"/>
          <w:sz w:val="19"/>
          <w:szCs w:val="19"/>
          <w:color w:val="auto"/>
        </w:rPr>
      </w:pPr>
      <w:r>
        <w:rPr>
          <w:rFonts w:ascii="Arial" w:cs="Arial" w:eastAsia="Arial" w:hAnsi="Arial"/>
          <w:sz w:val="19"/>
          <w:szCs w:val="19"/>
          <w:b w:val="1"/>
          <w:bCs w:val="1"/>
          <w:color w:val="auto"/>
        </w:rPr>
        <w:t xml:space="preserve">Disability. </w:t>
      </w:r>
      <w:r>
        <w:rPr>
          <w:rFonts w:ascii="Arial" w:cs="Arial" w:eastAsia="Arial" w:hAnsi="Arial"/>
          <w:sz w:val="19"/>
          <w:szCs w:val="19"/>
          <w:color w:val="auto"/>
        </w:rPr>
        <w:t>If the Participant’s Service terminates because of the Disability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date of expiration of the Option’s term as set forth in the Award Agreement evidencing such Option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Option Expiration Date</w:t>
      </w:r>
      <w:r>
        <w:rPr>
          <w:rFonts w:ascii="Arial" w:cs="Arial" w:eastAsia="Arial" w:hAnsi="Arial"/>
          <w:sz w:val="19"/>
          <w:szCs w:val="19"/>
          <w:i w:val="1"/>
          <w:iCs w:val="1"/>
          <w:color w:val="auto"/>
        </w:rPr>
        <w:t>”</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right="40" w:firstLine="2601"/>
        <w:spacing w:after="0" w:line="261" w:lineRule="auto"/>
        <w:tabs>
          <w:tab w:leader="none" w:pos="3505" w:val="left"/>
        </w:tabs>
        <w:numPr>
          <w:ilvl w:val="1"/>
          <w:numId w:val="52"/>
        </w:numPr>
        <w:rPr>
          <w:rFonts w:ascii="Arial" w:cs="Arial" w:eastAsia="Arial" w:hAnsi="Arial"/>
          <w:sz w:val="21"/>
          <w:szCs w:val="21"/>
          <w:color w:val="auto"/>
        </w:rPr>
      </w:pPr>
      <w:r>
        <w:rPr>
          <w:rFonts w:ascii="Arial" w:cs="Arial" w:eastAsia="Arial" w:hAnsi="Arial"/>
          <w:sz w:val="21"/>
          <w:szCs w:val="21"/>
          <w:b w:val="1"/>
          <w:bCs w:val="1"/>
          <w:color w:val="auto"/>
        </w:rPr>
        <w:t xml:space="preserve">Death. </w:t>
      </w:r>
      <w:r>
        <w:rPr>
          <w:rFonts w:ascii="Arial" w:cs="Arial" w:eastAsia="Arial" w:hAnsi="Arial"/>
          <w:sz w:val="21"/>
          <w:szCs w:val="21"/>
          <w:color w:val="auto"/>
        </w:rPr>
        <w:t>If the Participant’s Service terminates because of the death of the Participant, the</w:t>
      </w:r>
      <w:r>
        <w:rPr>
          <w:rFonts w:ascii="Arial" w:cs="Arial" w:eastAsia="Arial" w:hAnsi="Arial"/>
          <w:sz w:val="21"/>
          <w:szCs w:val="21"/>
          <w:b w:val="1"/>
          <w:bCs w:val="1"/>
          <w:color w:val="auto"/>
        </w:rPr>
        <w:t xml:space="preserve"> </w:t>
      </w:r>
      <w:r>
        <w:rPr>
          <w:rFonts w:ascii="Arial" w:cs="Arial" w:eastAsia="Arial" w:hAnsi="Arial"/>
          <w:sz w:val="21"/>
          <w:szCs w:val="21"/>
          <w:color w:val="auto"/>
        </w:rPr>
        <w:t>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 for any reason other than Cause.</w:t>
      </w:r>
    </w:p>
    <w:p>
      <w:pPr>
        <w:spacing w:after="0" w:line="214" w:lineRule="exact"/>
        <w:rPr>
          <w:rFonts w:ascii="Arial" w:cs="Arial" w:eastAsia="Arial" w:hAnsi="Arial"/>
          <w:sz w:val="21"/>
          <w:szCs w:val="21"/>
          <w:color w:val="auto"/>
        </w:rPr>
      </w:pPr>
    </w:p>
    <w:p>
      <w:pPr>
        <w:ind w:right="100" w:firstLine="2601"/>
        <w:spacing w:after="0" w:line="269" w:lineRule="auto"/>
        <w:tabs>
          <w:tab w:leader="none" w:pos="3565" w:val="left"/>
        </w:tabs>
        <w:numPr>
          <w:ilvl w:val="1"/>
          <w:numId w:val="52"/>
        </w:numPr>
        <w:rPr>
          <w:rFonts w:ascii="Arial" w:cs="Arial" w:eastAsia="Arial" w:hAnsi="Arial"/>
          <w:sz w:val="22"/>
          <w:szCs w:val="22"/>
          <w:color w:val="auto"/>
        </w:rPr>
      </w:pPr>
      <w:r>
        <w:rPr>
          <w:rFonts w:ascii="Arial" w:cs="Arial" w:eastAsia="Arial" w:hAnsi="Arial"/>
          <w:sz w:val="22"/>
          <w:szCs w:val="22"/>
          <w:b w:val="1"/>
          <w:bCs w:val="1"/>
          <w:color w:val="auto"/>
        </w:rPr>
        <w:t xml:space="preserve">Termination for Cause. </w:t>
      </w:r>
      <w:r>
        <w:rPr>
          <w:rFonts w:ascii="Arial" w:cs="Arial" w:eastAsia="Arial" w:hAnsi="Arial"/>
          <w:sz w:val="22"/>
          <w:szCs w:val="22"/>
          <w:color w:val="auto"/>
        </w:rPr>
        <w:t>Notwithstanding any other provision of the Plan to the contrary,</w:t>
      </w:r>
      <w:r>
        <w:rPr>
          <w:rFonts w:ascii="Arial" w:cs="Arial" w:eastAsia="Arial" w:hAnsi="Arial"/>
          <w:sz w:val="22"/>
          <w:szCs w:val="22"/>
          <w:b w:val="1"/>
          <w:bCs w:val="1"/>
          <w:color w:val="auto"/>
        </w:rPr>
        <w:t xml:space="preserve"> </w:t>
      </w:r>
      <w:r>
        <w:rPr>
          <w:rFonts w:ascii="Arial" w:cs="Arial" w:eastAsia="Arial" w:hAnsi="Arial"/>
          <w:sz w:val="22"/>
          <w:szCs w:val="22"/>
          <w:color w:val="auto"/>
        </w:rPr>
        <w:t>if the Participant’s Service is terminated for Cause or if,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A- 15</w:t>
      </w:r>
    </w:p>
    <w:p>
      <w:pPr>
        <w:sectPr>
          <w:pgSz w:w="11900" w:h="16838" w:orient="portrait"/>
          <w:cols w:equalWidth="0" w:num="1">
            <w:col w:w="11400"/>
          </w:cols>
          <w:pgMar w:left="240" w:top="591" w:right="259" w:bottom="1440" w:gutter="0" w:footer="0" w:header="0"/>
        </w:sectPr>
      </w:pPr>
    </w:p>
    <w:bookmarkStart w:id="49" w:name="page50"/>
    <w:bookmarkEnd w:id="49"/>
    <w:p>
      <w:pPr>
        <w:jc w:val="both"/>
        <w:ind w:right="120"/>
        <w:spacing w:after="0" w:line="253" w:lineRule="auto"/>
        <w:rPr>
          <w:sz w:val="20"/>
          <w:szCs w:val="20"/>
          <w:color w:val="auto"/>
        </w:rPr>
      </w:pPr>
      <w:r>
        <w:rPr>
          <w:rFonts w:ascii="Arial" w:cs="Arial" w:eastAsia="Arial" w:hAnsi="Arial"/>
          <w:sz w:val="22"/>
          <w:szCs w:val="22"/>
          <w:color w:val="auto"/>
        </w:rPr>
        <w:t>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220" w:lineRule="exact"/>
        <w:rPr>
          <w:sz w:val="20"/>
          <w:szCs w:val="20"/>
          <w:color w:val="auto"/>
        </w:rPr>
      </w:pPr>
    </w:p>
    <w:p>
      <w:pPr>
        <w:ind w:right="20" w:firstLine="2601"/>
        <w:spacing w:after="0" w:line="304" w:lineRule="auto"/>
        <w:tabs>
          <w:tab w:leader="none" w:pos="3553" w:val="left"/>
        </w:tabs>
        <w:numPr>
          <w:ilvl w:val="1"/>
          <w:numId w:val="53"/>
        </w:numPr>
        <w:rPr>
          <w:rFonts w:ascii="Arial" w:cs="Arial" w:eastAsia="Arial" w:hAnsi="Arial"/>
          <w:sz w:val="19"/>
          <w:szCs w:val="19"/>
          <w:color w:val="auto"/>
        </w:rPr>
      </w:pPr>
      <w:r>
        <w:rPr>
          <w:rFonts w:ascii="Arial" w:cs="Arial" w:eastAsia="Arial" w:hAnsi="Arial"/>
          <w:sz w:val="19"/>
          <w:szCs w:val="19"/>
          <w:b w:val="1"/>
          <w:bCs w:val="1"/>
          <w:color w:val="auto"/>
        </w:rPr>
        <w:t xml:space="preserve">Other Termination of Service. </w:t>
      </w:r>
      <w:r>
        <w:rPr>
          <w:rFonts w:ascii="Arial" w:cs="Arial" w:eastAsia="Arial" w:hAnsi="Arial"/>
          <w:sz w:val="19"/>
          <w:szCs w:val="19"/>
          <w:color w:val="auto"/>
        </w:rPr>
        <w:t>If the Participant’s Service terminates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Disability, death or Cause the Option, to the extent unexercised and exercisable for vested shares on the date on which the Participant’s Service terminated, may be exercised by the Participant at any time prior to the expiration of three (3) months after the date on which the Participant’s Service terminated, but in any event no later than the Option Expiration Date.</w:t>
      </w:r>
    </w:p>
    <w:p>
      <w:pPr>
        <w:spacing w:after="0" w:line="181" w:lineRule="exact"/>
        <w:rPr>
          <w:rFonts w:ascii="Arial" w:cs="Arial" w:eastAsia="Arial" w:hAnsi="Arial"/>
          <w:sz w:val="19"/>
          <w:szCs w:val="19"/>
          <w:color w:val="auto"/>
        </w:rPr>
      </w:pPr>
    </w:p>
    <w:p>
      <w:pPr>
        <w:ind w:firstLine="1953"/>
        <w:spacing w:after="0" w:line="248" w:lineRule="auto"/>
        <w:tabs>
          <w:tab w:leader="none" w:pos="2845" w:val="left"/>
        </w:tabs>
        <w:numPr>
          <w:ilvl w:val="0"/>
          <w:numId w:val="5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Extension if Exercise Prevented by Law. </w:t>
      </w:r>
      <w:r>
        <w:rPr>
          <w:rFonts w:ascii="Arial" w:cs="Arial" w:eastAsia="Arial" w:hAnsi="Arial"/>
          <w:sz w:val="22"/>
          <w:szCs w:val="22"/>
          <w:color w:val="auto"/>
        </w:rPr>
        <w:t>Notwithstanding the foregoing, other than termination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Service for Cause, if the exercise of an Option within the applicable time periods set forth in Section 6.4(a) is prevented by the provisions of Section 13 below, the Option shall remain exercisable until three (3) months (or such longer period of time as determined by the Committee, in its discretion) after the date the Participant is notified by the Company that the Option is exercisable, but in any event no later than the Option Expiration Date.</w:t>
      </w:r>
    </w:p>
    <w:p>
      <w:pPr>
        <w:spacing w:after="0" w:line="232" w:lineRule="exact"/>
        <w:rPr>
          <w:rFonts w:ascii="Arial" w:cs="Arial" w:eastAsia="Arial" w:hAnsi="Arial"/>
          <w:sz w:val="22"/>
          <w:szCs w:val="22"/>
          <w:color w:val="auto"/>
        </w:rPr>
      </w:pPr>
    </w:p>
    <w:p>
      <w:pPr>
        <w:ind w:right="40" w:firstLine="1953"/>
        <w:spacing w:after="0" w:line="247" w:lineRule="auto"/>
        <w:tabs>
          <w:tab w:leader="none" w:pos="2833" w:val="left"/>
        </w:tabs>
        <w:numPr>
          <w:ilvl w:val="0"/>
          <w:numId w:val="5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Extension if Participant Subject to Section 16(b). </w:t>
      </w:r>
      <w:r>
        <w:rPr>
          <w:rFonts w:ascii="Arial" w:cs="Arial" w:eastAsia="Arial" w:hAnsi="Arial"/>
          <w:sz w:val="22"/>
          <w:szCs w:val="22"/>
          <w:color w:val="auto"/>
        </w:rPr>
        <w:t>Notwithstanding the foregoing, other than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termination of Service for Cause, if a sale within the applicable time periods set forth in Section 6.4(a) of shares acquired upon the exercise of the Option would subject the Participant to suit under Section 16(b) of the Exchange Act, the Option shall remain exercisable until the earliest to occur of (i) the tenth (10th) day following the date on which a sale of such shares by the Participant would no longer be subject to such suit, (ii) the one hundred and ninetieth (190th) day after the Participant’s termination of Service, or (iii) the Option Expiration Date.</w:t>
      </w:r>
    </w:p>
    <w:p>
      <w:pPr>
        <w:spacing w:after="0" w:line="228" w:lineRule="exact"/>
        <w:rPr>
          <w:sz w:val="20"/>
          <w:szCs w:val="20"/>
          <w:color w:val="auto"/>
        </w:rPr>
      </w:pPr>
    </w:p>
    <w:p>
      <w:pPr>
        <w:ind w:right="60" w:firstLine="1297"/>
        <w:spacing w:after="0" w:line="293"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b w:val="1"/>
          <w:bCs w:val="1"/>
          <w:color w:val="auto"/>
        </w:rPr>
        <w:t>Transferability of Options.</w:t>
      </w:r>
      <w:r>
        <w:rPr>
          <w:rFonts w:ascii="Arial" w:cs="Arial" w:eastAsia="Arial" w:hAnsi="Arial"/>
          <w:sz w:val="19"/>
          <w:szCs w:val="19"/>
          <w:color w:val="auto"/>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 Nonstatutory Stock Option shall be assignable or transferable subject to the applicable limitations, if any, described in the General Instructions to Form S-8 Registration Statement under the Securities Act.</w:t>
      </w:r>
    </w:p>
    <w:p>
      <w:pPr>
        <w:spacing w:after="0" w:line="186" w:lineRule="exact"/>
        <w:rPr>
          <w:sz w:val="20"/>
          <w:szCs w:val="20"/>
          <w:color w:val="auto"/>
        </w:rPr>
      </w:pPr>
    </w:p>
    <w:p>
      <w:pPr>
        <w:ind w:left="1040" w:hanging="384"/>
        <w:spacing w:after="0"/>
        <w:tabs>
          <w:tab w:leader="none" w:pos="1040"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 APPRECIATION RIGHTS</w:t>
      </w:r>
      <w:r>
        <w:rPr>
          <w:rFonts w:ascii="Arial" w:cs="Arial" w:eastAsia="Arial" w:hAnsi="Arial"/>
          <w:sz w:val="22"/>
          <w:szCs w:val="22"/>
          <w:b w:val="1"/>
          <w:bCs w:val="1"/>
          <w:color w:val="auto"/>
        </w:rPr>
        <w:t>.</w:t>
      </w:r>
    </w:p>
    <w:p>
      <w:pPr>
        <w:spacing w:after="0" w:line="266" w:lineRule="exact"/>
        <w:rPr>
          <w:sz w:val="20"/>
          <w:szCs w:val="20"/>
          <w:color w:val="auto"/>
        </w:rPr>
      </w:pPr>
    </w:p>
    <w:p>
      <w:pPr>
        <w:ind w:right="220" w:firstLine="1297"/>
        <w:spacing w:after="0" w:line="265" w:lineRule="auto"/>
        <w:rPr>
          <w:sz w:val="20"/>
          <w:szCs w:val="20"/>
          <w:color w:val="auto"/>
        </w:rPr>
      </w:pPr>
      <w:r>
        <w:rPr>
          <w:rFonts w:ascii="Arial" w:cs="Arial" w:eastAsia="Arial" w:hAnsi="Arial"/>
          <w:sz w:val="21"/>
          <w:szCs w:val="21"/>
          <w:color w:val="auto"/>
        </w:rPr>
        <w:t>Stock Appreciation Rights shall be evidenced by Award Agreements specifying the number of shares of Stock subject to the Award, in such form as the Committee shall from time to time establish. No SAR or purported SAR shall be a valid and binding obligation of the Company unless evidenced by a fully executed Award Agreement. Award Agreements evidencing SARs may incorporate all or any of the terms of the Plan by reference, including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A- 16</w:t>
      </w:r>
    </w:p>
    <w:p>
      <w:pPr>
        <w:sectPr>
          <w:pgSz w:w="11900" w:h="16838" w:orient="portrait"/>
          <w:cols w:equalWidth="0" w:num="1">
            <w:col w:w="11420"/>
          </w:cols>
          <w:pgMar w:left="240" w:top="591" w:right="239" w:bottom="1440" w:gutter="0" w:footer="0" w:header="0"/>
        </w:sectPr>
      </w:pPr>
    </w:p>
    <w:bookmarkStart w:id="50" w:name="page51"/>
    <w:bookmarkEnd w:id="50"/>
    <w:p>
      <w:pPr>
        <w:ind w:right="320"/>
        <w:spacing w:after="0" w:line="263" w:lineRule="auto"/>
        <w:rPr>
          <w:sz w:val="20"/>
          <w:szCs w:val="20"/>
          <w:color w:val="auto"/>
        </w:rPr>
      </w:pPr>
      <w:r>
        <w:rPr>
          <w:rFonts w:ascii="Arial" w:cs="Arial" w:eastAsia="Arial" w:hAnsi="Arial"/>
          <w:sz w:val="22"/>
          <w:szCs w:val="22"/>
          <w:color w:val="auto"/>
        </w:rPr>
        <w:t>provisions of Section 16 with respect to Section 409A if applicable, and shall comply with and be subject to the following terms and conditions:</w:t>
      </w:r>
    </w:p>
    <w:p>
      <w:pPr>
        <w:spacing w:after="0" w:line="169" w:lineRule="exact"/>
        <w:rPr>
          <w:sz w:val="20"/>
          <w:szCs w:val="20"/>
          <w:color w:val="auto"/>
        </w:rPr>
      </w:pPr>
    </w:p>
    <w:p>
      <w:pPr>
        <w:ind w:right="200" w:firstLine="1297"/>
        <w:spacing w:after="0" w:line="256"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b w:val="1"/>
          <w:bCs w:val="1"/>
          <w:color w:val="auto"/>
        </w:rPr>
        <w:t>Types of SARs Authorized.</w:t>
      </w:r>
      <w:r>
        <w:rPr>
          <w:rFonts w:ascii="Arial" w:cs="Arial" w:eastAsia="Arial" w:hAnsi="Arial"/>
          <w:sz w:val="22"/>
          <w:szCs w:val="22"/>
          <w:color w:val="auto"/>
        </w:rPr>
        <w:t xml:space="preserve"> SARs may be granted in tandem with all or any portion of a related Option (a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Tandem SAR</w:t>
      </w:r>
      <w:r>
        <w:rPr>
          <w:rFonts w:ascii="Arial" w:cs="Arial" w:eastAsia="Arial" w:hAnsi="Arial"/>
          <w:sz w:val="22"/>
          <w:szCs w:val="22"/>
          <w:i w:val="1"/>
          <w:iCs w:val="1"/>
          <w:color w:val="auto"/>
        </w:rPr>
        <w:t>”</w:t>
      </w:r>
      <w:r>
        <w:rPr>
          <w:rFonts w:ascii="Arial" w:cs="Arial" w:eastAsia="Arial" w:hAnsi="Arial"/>
          <w:sz w:val="22"/>
          <w:szCs w:val="22"/>
          <w:color w:val="auto"/>
        </w:rPr>
        <w:t>) or may be granted independently of any Option (a</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Freestanding SAR</w:t>
      </w:r>
      <w:r>
        <w:rPr>
          <w:rFonts w:ascii="Arial" w:cs="Arial" w:eastAsia="Arial" w:hAnsi="Arial"/>
          <w:sz w:val="22"/>
          <w:szCs w:val="22"/>
          <w:i w:val="1"/>
          <w:iCs w:val="1"/>
          <w:color w:val="auto"/>
        </w:rPr>
        <w:t>”</w:t>
      </w:r>
      <w:r>
        <w:rPr>
          <w:rFonts w:ascii="Arial" w:cs="Arial" w:eastAsia="Arial" w:hAnsi="Arial"/>
          <w:sz w:val="22"/>
          <w:szCs w:val="22"/>
          <w:color w:val="auto"/>
        </w:rPr>
        <w:t>). A Tandem SAR may only be granted</w:t>
      </w:r>
      <w:r>
        <w:rPr>
          <w:rFonts w:ascii="Arial" w:cs="Arial" w:eastAsia="Arial" w:hAnsi="Arial"/>
          <w:sz w:val="22"/>
          <w:szCs w:val="22"/>
          <w:i w:val="1"/>
          <w:iCs w:val="1"/>
          <w:color w:val="auto"/>
        </w:rPr>
        <w:t xml:space="preserve"> </w:t>
      </w:r>
      <w:r>
        <w:rPr>
          <w:rFonts w:ascii="Arial" w:cs="Arial" w:eastAsia="Arial" w:hAnsi="Arial"/>
          <w:sz w:val="22"/>
          <w:szCs w:val="22"/>
          <w:color w:val="auto"/>
        </w:rPr>
        <w:t>concurrently with the grant of the related Option.</w:t>
      </w:r>
    </w:p>
    <w:p>
      <w:pPr>
        <w:spacing w:after="0" w:line="217" w:lineRule="exact"/>
        <w:rPr>
          <w:sz w:val="20"/>
          <w:szCs w:val="20"/>
          <w:color w:val="auto"/>
        </w:rPr>
      </w:pPr>
    </w:p>
    <w:p>
      <w:pPr>
        <w:ind w:right="200" w:firstLine="1297"/>
        <w:spacing w:after="0" w:line="252"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color w:val="auto"/>
        </w:rPr>
        <w:t>Exercise Price.</w:t>
      </w:r>
      <w:r>
        <w:rPr>
          <w:rFonts w:ascii="Arial" w:cs="Arial" w:eastAsia="Arial" w:hAnsi="Arial"/>
          <w:sz w:val="22"/>
          <w:szCs w:val="22"/>
          <w:color w:val="auto"/>
        </w:rPr>
        <w:t xml:space="preserve">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w:t>
      </w:r>
    </w:p>
    <w:p>
      <w:pPr>
        <w:spacing w:after="0" w:line="22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b w:val="1"/>
          <w:bCs w:val="1"/>
          <w:color w:val="auto"/>
        </w:rPr>
        <w:t>Exercisability and Term of SARs.</w:t>
      </w:r>
    </w:p>
    <w:p>
      <w:pPr>
        <w:spacing w:after="0" w:line="266" w:lineRule="exact"/>
        <w:rPr>
          <w:sz w:val="20"/>
          <w:szCs w:val="20"/>
          <w:color w:val="auto"/>
        </w:rPr>
      </w:pPr>
    </w:p>
    <w:p>
      <w:pPr>
        <w:ind w:firstLine="1953"/>
        <w:spacing w:after="0" w:line="288" w:lineRule="auto"/>
        <w:tabs>
          <w:tab w:leader="none" w:pos="2833" w:val="left"/>
        </w:tabs>
        <w:numPr>
          <w:ilvl w:val="0"/>
          <w:numId w:val="5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Tandem SARs. </w:t>
      </w:r>
      <w:r>
        <w:rPr>
          <w:rFonts w:ascii="Arial" w:cs="Arial" w:eastAsia="Arial" w:hAnsi="Arial"/>
          <w:sz w:val="19"/>
          <w:szCs w:val="19"/>
          <w:color w:val="auto"/>
        </w:rPr>
        <w:t>Tandem SARs shall be exercisable only at the time and to the extent, and only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extent, that 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200" w:lineRule="exact"/>
        <w:rPr>
          <w:rFonts w:ascii="Arial" w:cs="Arial" w:eastAsia="Arial" w:hAnsi="Arial"/>
          <w:sz w:val="19"/>
          <w:szCs w:val="19"/>
          <w:color w:val="auto"/>
        </w:rPr>
      </w:pPr>
    </w:p>
    <w:p>
      <w:pPr>
        <w:ind w:right="200" w:firstLine="1953"/>
        <w:spacing w:after="0" w:line="265" w:lineRule="auto"/>
        <w:tabs>
          <w:tab w:leader="none" w:pos="2845" w:val="left"/>
        </w:tabs>
        <w:numPr>
          <w:ilvl w:val="0"/>
          <w:numId w:val="5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Freestanding SARs. </w:t>
      </w:r>
      <w:r>
        <w:rPr>
          <w:rFonts w:ascii="Arial" w:cs="Arial" w:eastAsia="Arial" w:hAnsi="Arial"/>
          <w:sz w:val="21"/>
          <w:szCs w:val="21"/>
          <w:color w:val="auto"/>
        </w:rPr>
        <w:t>Freestanding SARs shall be exercisable at such time or times, or upon such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event or events, and subject to such terms, conditions, performance criteria and restrictions as shall be determined by the Committee and set forth in the Award Agreement evidencing such SAR; provided, however, that no Freestanding SAR shall be exercisable after the expiration of ten (10) years after the effective date of grant of such SAR.</w:t>
      </w:r>
    </w:p>
    <w:p>
      <w:pPr>
        <w:spacing w:after="0" w:line="210"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b w:val="1"/>
          <w:bCs w:val="1"/>
          <w:color w:val="auto"/>
        </w:rPr>
        <w:t>Exercise of SARs.</w:t>
      </w:r>
      <w:r>
        <w:rPr>
          <w:rFonts w:ascii="Arial" w:cs="Arial" w:eastAsia="Arial" w:hAnsi="Arial"/>
          <w:sz w:val="19"/>
          <w:szCs w:val="19"/>
          <w:color w:val="auto"/>
        </w:rPr>
        <w:t xml:space="preserve">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as soon as practicable following the date of exercise of the SAR and (b) in the case of a Freestanding SAR, in cash, shares of Stock, or any combination thereof as determined by the Committee in compliance with Section 409A. Unless otherwise provided in the Award Agreement evidencing a Freestanding SAR, payment shall be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A- 17</w:t>
      </w:r>
    </w:p>
    <w:p>
      <w:pPr>
        <w:sectPr>
          <w:pgSz w:w="11900" w:h="16838" w:orient="portrait"/>
          <w:cols w:equalWidth="0" w:num="1">
            <w:col w:w="11400"/>
          </w:cols>
          <w:pgMar w:left="240" w:top="591" w:right="259" w:bottom="1440" w:gutter="0" w:footer="0" w:header="0"/>
        </w:sectPr>
      </w:pPr>
    </w:p>
    <w:bookmarkStart w:id="51" w:name="page52"/>
    <w:bookmarkEnd w:id="51"/>
    <w:p>
      <w:pPr>
        <w:ind w:right="180"/>
        <w:spacing w:after="0" w:line="297" w:lineRule="auto"/>
        <w:rPr>
          <w:sz w:val="20"/>
          <w:szCs w:val="20"/>
          <w:color w:val="auto"/>
        </w:rPr>
      </w:pPr>
      <w:r>
        <w:rPr>
          <w:rFonts w:ascii="Arial" w:cs="Arial" w:eastAsia="Arial" w:hAnsi="Arial"/>
          <w:sz w:val="19"/>
          <w:szCs w:val="19"/>
          <w:color w:val="auto"/>
        </w:rPr>
        <w:t>made in a lump sum as soon as practicable following the date of exercise of the SAR. The Award Agreement evidencing any Freestanding SAR may provide for deferred payment in a lump sum or in installments in compliance with Section 409A.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182" w:lineRule="exact"/>
        <w:rPr>
          <w:sz w:val="20"/>
          <w:szCs w:val="20"/>
          <w:color w:val="auto"/>
        </w:rPr>
      </w:pPr>
    </w:p>
    <w:p>
      <w:pPr>
        <w:ind w:right="40" w:firstLine="1297"/>
        <w:spacing w:after="0" w:line="252"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b w:val="1"/>
          <w:bCs w:val="1"/>
          <w:color w:val="auto"/>
        </w:rPr>
        <w:t>Deemed Exercise of SARs.</w:t>
      </w:r>
      <w:r>
        <w:rPr>
          <w:rFonts w:ascii="Arial" w:cs="Arial" w:eastAsia="Arial" w:hAnsi="Arial"/>
          <w:sz w:val="22"/>
          <w:szCs w:val="22"/>
          <w:color w:val="auto"/>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w:t>
      </w:r>
    </w:p>
    <w:p>
      <w:pPr>
        <w:spacing w:after="0" w:line="221" w:lineRule="exact"/>
        <w:rPr>
          <w:sz w:val="20"/>
          <w:szCs w:val="20"/>
          <w:color w:val="auto"/>
        </w:rPr>
      </w:pPr>
    </w:p>
    <w:p>
      <w:pPr>
        <w:ind w:right="100" w:firstLine="1297"/>
        <w:spacing w:after="0" w:line="267"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b w:val="1"/>
          <w:bCs w:val="1"/>
          <w:color w:val="auto"/>
        </w:rPr>
        <w:t>Effect of Termination of Service.</w:t>
      </w:r>
      <w:r>
        <w:rPr>
          <w:rFonts w:ascii="Arial" w:cs="Arial" w:eastAsia="Arial" w:hAnsi="Arial"/>
          <w:sz w:val="21"/>
          <w:szCs w:val="21"/>
          <w:color w:val="auto"/>
        </w:rPr>
        <w:t xml:space="preserve"> Subject to earlier termination of the SAR as otherwise provided herein and unless otherwise provided by the Committee in the grant of an SAR and set forth in the Award Agreement,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208" w:lineRule="exact"/>
        <w:rPr>
          <w:sz w:val="20"/>
          <w:szCs w:val="20"/>
          <w:color w:val="auto"/>
        </w:rPr>
      </w:pPr>
    </w:p>
    <w:p>
      <w:pPr>
        <w:ind w:right="80" w:firstLine="1297"/>
        <w:spacing w:after="0" w:line="293"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b w:val="1"/>
          <w:bCs w:val="1"/>
          <w:color w:val="auto"/>
        </w:rPr>
        <w:t>Transferability of SARs.</w:t>
      </w:r>
      <w:r>
        <w:rPr>
          <w:rFonts w:ascii="Arial" w:cs="Arial" w:eastAsia="Arial" w:hAnsi="Arial"/>
          <w:sz w:val="19"/>
          <w:szCs w:val="19"/>
          <w:color w:val="auto"/>
        </w:rPr>
        <w:t xml:space="preserve">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Registration Statement under the Securities Act.</w:t>
      </w:r>
    </w:p>
    <w:p>
      <w:pPr>
        <w:spacing w:after="0" w:line="186" w:lineRule="exact"/>
        <w:rPr>
          <w:sz w:val="20"/>
          <w:szCs w:val="20"/>
          <w:color w:val="auto"/>
        </w:rPr>
      </w:pPr>
    </w:p>
    <w:p>
      <w:pPr>
        <w:ind w:left="1040" w:hanging="384"/>
        <w:spacing w:after="0"/>
        <w:tabs>
          <w:tab w:leader="none" w:pos="1040"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RESTRICTED STOCK AWARDS</w:t>
      </w:r>
      <w:r>
        <w:rPr>
          <w:rFonts w:ascii="Arial" w:cs="Arial" w:eastAsia="Arial" w:hAnsi="Arial"/>
          <w:sz w:val="22"/>
          <w:szCs w:val="22"/>
          <w:b w:val="1"/>
          <w:bCs w:val="1"/>
          <w:color w:val="auto"/>
        </w:rPr>
        <w:t>.</w:t>
      </w:r>
    </w:p>
    <w:p>
      <w:pPr>
        <w:spacing w:after="0" w:line="266" w:lineRule="exact"/>
        <w:rPr>
          <w:sz w:val="20"/>
          <w:szCs w:val="20"/>
          <w:color w:val="auto"/>
        </w:rPr>
      </w:pPr>
    </w:p>
    <w:p>
      <w:pPr>
        <w:ind w:right="160" w:firstLine="1297"/>
        <w:spacing w:after="0" w:line="247" w:lineRule="auto"/>
        <w:rPr>
          <w:sz w:val="20"/>
          <w:szCs w:val="20"/>
          <w:color w:val="auto"/>
        </w:rPr>
      </w:pPr>
      <w:r>
        <w:rPr>
          <w:rFonts w:ascii="Arial" w:cs="Arial" w:eastAsia="Arial" w:hAnsi="Arial"/>
          <w:sz w:val="22"/>
          <w:szCs w:val="22"/>
          <w:color w:val="auto"/>
        </w:rPr>
        <w:t>Restricted Stock Awards shall be evidenced by Award Agreements specifying whether the Award is a Restricted Stock Bonus or a Restricted Stock Purchase Right and the number of shares of Stock subject to the Award, in such form as the Committee shall from time to time establish. No Restricted Stock Award or purported Restricted Stock Award shall be a valid and binding obligation of the Company unless evidenced by a fully executed Award Agreement. Award Agreements evidencing Restricted Stock Awards may incorporate all or any of the terms of the Plan by reference and shall comply with and be subject to the following terms and conditions:</w:t>
      </w:r>
    </w:p>
    <w:p>
      <w:pPr>
        <w:spacing w:after="0" w:line="188" w:lineRule="exact"/>
        <w:rPr>
          <w:sz w:val="20"/>
          <w:szCs w:val="20"/>
          <w:color w:val="auto"/>
        </w:rPr>
      </w:pPr>
    </w:p>
    <w:p>
      <w:pPr>
        <w:ind w:firstLine="1297"/>
        <w:spacing w:after="0" w:line="274"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b w:val="1"/>
          <w:bCs w:val="1"/>
          <w:color w:val="auto"/>
        </w:rPr>
        <w:t>Types of Restricted Stock Awards Authorized.</w:t>
      </w:r>
      <w:r>
        <w:rPr>
          <w:rFonts w:ascii="Arial" w:cs="Arial" w:eastAsia="Arial" w:hAnsi="Arial"/>
          <w:sz w:val="21"/>
          <w:szCs w:val="21"/>
          <w:color w:val="auto"/>
        </w:rPr>
        <w:t xml:space="preserve">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A- 18</w:t>
      </w:r>
    </w:p>
    <w:p>
      <w:pPr>
        <w:sectPr>
          <w:pgSz w:w="11900" w:h="16838" w:orient="portrait"/>
          <w:cols w:equalWidth="0" w:num="1">
            <w:col w:w="11400"/>
          </w:cols>
          <w:pgMar w:left="240" w:top="591" w:right="259" w:bottom="1440" w:gutter="0" w:footer="0" w:header="0"/>
        </w:sectPr>
      </w:pPr>
    </w:p>
    <w:bookmarkStart w:id="52" w:name="page53"/>
    <w:bookmarkEnd w:id="52"/>
    <w:p>
      <w:pPr>
        <w:ind w:right="200"/>
        <w:spacing w:after="0" w:line="253" w:lineRule="auto"/>
        <w:rPr>
          <w:sz w:val="20"/>
          <w:szCs w:val="20"/>
          <w:color w:val="auto"/>
        </w:rPr>
      </w:pPr>
      <w:r>
        <w:rPr>
          <w:rFonts w:ascii="Arial" w:cs="Arial" w:eastAsia="Arial" w:hAnsi="Arial"/>
          <w:sz w:val="22"/>
          <w:szCs w:val="22"/>
          <w:color w:val="auto"/>
        </w:rPr>
        <w:t>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220" w:lineRule="exact"/>
        <w:rPr>
          <w:sz w:val="20"/>
          <w:szCs w:val="20"/>
          <w:color w:val="auto"/>
        </w:rPr>
      </w:pPr>
    </w:p>
    <w:p>
      <w:pPr>
        <w:ind w:right="220" w:firstLine="1297"/>
        <w:spacing w:after="0" w:line="295"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b w:val="1"/>
          <w:bCs w:val="1"/>
          <w:color w:val="auto"/>
        </w:rPr>
        <w:t>Purchase Price.</w:t>
      </w:r>
      <w:r>
        <w:rPr>
          <w:rFonts w:ascii="Arial" w:cs="Arial" w:eastAsia="Arial" w:hAnsi="Arial"/>
          <w:sz w:val="19"/>
          <w:szCs w:val="19"/>
          <w:color w:val="auto"/>
        </w:rPr>
        <w:t xml:space="preserve">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185" w:lineRule="exact"/>
        <w:rPr>
          <w:sz w:val="20"/>
          <w:szCs w:val="20"/>
          <w:color w:val="auto"/>
        </w:rPr>
      </w:pPr>
    </w:p>
    <w:p>
      <w:pPr>
        <w:jc w:val="both"/>
        <w:ind w:right="300" w:firstLine="1297"/>
        <w:spacing w:after="0" w:line="256"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b w:val="1"/>
          <w:bCs w:val="1"/>
          <w:color w:val="auto"/>
        </w:rPr>
        <w:t>Purchase Period.</w:t>
      </w:r>
      <w:r>
        <w:rPr>
          <w:rFonts w:ascii="Arial" w:cs="Arial" w:eastAsia="Arial" w:hAnsi="Arial"/>
          <w:sz w:val="22"/>
          <w:szCs w:val="22"/>
          <w:color w:val="auto"/>
        </w:rPr>
        <w:t xml:space="preserve"> A Restricted Stock Purchase Right shall be exercisable within a period established by the Committee, which shall in no event exceed thirty (30) days from the effective date of the grant of the Restricted Stock Purchase Right.</w:t>
      </w:r>
    </w:p>
    <w:p>
      <w:pPr>
        <w:spacing w:after="0" w:line="217" w:lineRule="exact"/>
        <w:rPr>
          <w:sz w:val="20"/>
          <w:szCs w:val="20"/>
          <w:color w:val="auto"/>
        </w:rPr>
      </w:pPr>
    </w:p>
    <w:p>
      <w:pPr>
        <w:ind w:right="80" w:firstLine="1297"/>
        <w:spacing w:after="0" w:line="262"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b w:val="1"/>
          <w:bCs w:val="1"/>
          <w:color w:val="auto"/>
        </w:rPr>
        <w:t>Payment of Purchase Price.</w:t>
      </w:r>
      <w:r>
        <w:rPr>
          <w:rFonts w:ascii="Arial" w:cs="Arial" w:eastAsia="Arial" w:hAnsi="Arial"/>
          <w:sz w:val="21"/>
          <w:szCs w:val="21"/>
          <w:color w:val="auto"/>
        </w:rPr>
        <w:t xml:space="preserve"> Except as otherwise provided below, payment of the purchase price for the number of shares of Stock being purchased pursuant to any Restricted Stock Purchase Right shall be made (a) in cash or by check or cash equivalent, (b) by such other consideration as may be approved by the Committee from time to time to the extent permitted by applicable law, or (c) by any combination thereof. The Committee may at any time or from time to time grant Restricted Stock Purchase Rights which do not permit all of the foregoing forms of consideration to be used in payment of the purchase price or which otherwise restrict one or more forms of consideration.</w:t>
      </w:r>
    </w:p>
    <w:p>
      <w:pPr>
        <w:spacing w:after="0" w:line="214"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b w:val="1"/>
          <w:bCs w:val="1"/>
          <w:color w:val="auto"/>
        </w:rPr>
        <w:t>Vesting and Restrictions on Transfer.</w:t>
      </w:r>
      <w:r>
        <w:rPr>
          <w:rFonts w:ascii="Arial" w:cs="Arial" w:eastAsia="Arial" w:hAnsi="Arial"/>
          <w:sz w:val="19"/>
          <w:szCs w:val="19"/>
          <w:color w:val="auto"/>
        </w:rPr>
        <w:t xml:space="preserve">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Company’s Insider Trading Policy, then the satisfaction of the Vesting Conditions automatically shall be deemed to occur on the next day on which the sale of such shares would not violate the Insider Trading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A- 19</w:t>
      </w:r>
    </w:p>
    <w:p>
      <w:pPr>
        <w:sectPr>
          <w:pgSz w:w="11900" w:h="16838" w:orient="portrait"/>
          <w:cols w:equalWidth="0" w:num="1">
            <w:col w:w="11420"/>
          </w:cols>
          <w:pgMar w:left="240" w:top="591" w:right="239" w:bottom="1440" w:gutter="0" w:footer="0" w:header="0"/>
        </w:sectPr>
      </w:pPr>
    </w:p>
    <w:bookmarkStart w:id="53" w:name="page54"/>
    <w:bookmarkEnd w:id="53"/>
    <w:p>
      <w:pPr>
        <w:ind w:firstLine="1297"/>
        <w:spacing w:after="0" w:line="290"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b w:val="1"/>
          <w:bCs w:val="1"/>
          <w:color w:val="auto"/>
        </w:rPr>
        <w:t>Voting Rights; Dividends and Distributions.</w:t>
      </w:r>
      <w:r>
        <w:rPr>
          <w:rFonts w:ascii="Arial" w:cs="Arial" w:eastAsia="Arial" w:hAnsi="Arial"/>
          <w:sz w:val="19"/>
          <w:szCs w:val="19"/>
          <w:color w:val="auto"/>
        </w:rPr>
        <w:t xml:space="preserve">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However, in the event of a dividend or distribution paid in shares of Stock or other property or any other adjustment made upon a change in the capital structure of the Company as described in Section 4.4, any and all new, substituted or additional securities or other property (other than normal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90" w:lineRule="exact"/>
        <w:rPr>
          <w:sz w:val="20"/>
          <w:szCs w:val="20"/>
          <w:color w:val="auto"/>
        </w:rPr>
      </w:pPr>
    </w:p>
    <w:p>
      <w:pPr>
        <w:ind w:right="40" w:firstLine="1297"/>
        <w:spacing w:after="0" w:line="291"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b w:val="1"/>
          <w:bCs w:val="1"/>
          <w:color w:val="auto"/>
        </w:rPr>
        <w:t>Effect of Termination of Service.</w:t>
      </w:r>
      <w:r>
        <w:rPr>
          <w:rFonts w:ascii="Arial" w:cs="Arial" w:eastAsia="Arial" w:hAnsi="Arial"/>
          <w:sz w:val="19"/>
          <w:szCs w:val="19"/>
          <w:color w:val="auto"/>
        </w:rPr>
        <w:t xml:space="preserve">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190" w:lineRule="exact"/>
        <w:rPr>
          <w:sz w:val="20"/>
          <w:szCs w:val="20"/>
          <w:color w:val="auto"/>
        </w:rPr>
      </w:pPr>
    </w:p>
    <w:p>
      <w:pPr>
        <w:ind w:right="80" w:firstLine="1297"/>
        <w:spacing w:after="0" w:line="298" w:lineRule="auto"/>
        <w:rPr>
          <w:sz w:val="20"/>
          <w:szCs w:val="20"/>
          <w:color w:val="auto"/>
        </w:rPr>
      </w:pPr>
      <w:r>
        <w:rPr>
          <w:rFonts w:ascii="Arial" w:cs="Arial" w:eastAsia="Arial" w:hAnsi="Arial"/>
          <w:sz w:val="19"/>
          <w:szCs w:val="19"/>
          <w:color w:val="auto"/>
        </w:rPr>
        <w:t xml:space="preserve">8.8 </w:t>
      </w:r>
      <w:r>
        <w:rPr>
          <w:rFonts w:ascii="Arial" w:cs="Arial" w:eastAsia="Arial" w:hAnsi="Arial"/>
          <w:sz w:val="19"/>
          <w:szCs w:val="19"/>
          <w:b w:val="1"/>
          <w:bCs w:val="1"/>
          <w:color w:val="auto"/>
        </w:rPr>
        <w:t>Nontransferability of Restricted Stock Award Rights.</w:t>
      </w:r>
      <w:r>
        <w:rPr>
          <w:rFonts w:ascii="Arial" w:cs="Arial" w:eastAsia="Arial" w:hAnsi="Arial"/>
          <w:sz w:val="19"/>
          <w:szCs w:val="19"/>
          <w:color w:val="auto"/>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183" w:lineRule="exact"/>
        <w:rPr>
          <w:sz w:val="20"/>
          <w:szCs w:val="20"/>
          <w:color w:val="auto"/>
        </w:rPr>
      </w:pPr>
    </w:p>
    <w:p>
      <w:pPr>
        <w:ind w:left="1040" w:hanging="384"/>
        <w:spacing w:after="0"/>
        <w:tabs>
          <w:tab w:leader="none" w:pos="1040" w:val="left"/>
        </w:tabs>
        <w:numPr>
          <w:ilvl w:val="0"/>
          <w:numId w:val="58"/>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RESTRICTED STOCK UNIT AWARDS</w:t>
      </w:r>
      <w:r>
        <w:rPr>
          <w:rFonts w:ascii="Arial" w:cs="Arial" w:eastAsia="Arial" w:hAnsi="Arial"/>
          <w:sz w:val="22"/>
          <w:szCs w:val="22"/>
          <w:b w:val="1"/>
          <w:bCs w:val="1"/>
          <w:color w:val="auto"/>
        </w:rPr>
        <w:t>.</w:t>
      </w:r>
    </w:p>
    <w:p>
      <w:pPr>
        <w:spacing w:after="0" w:line="266" w:lineRule="exact"/>
        <w:rPr>
          <w:sz w:val="20"/>
          <w:szCs w:val="20"/>
          <w:color w:val="auto"/>
        </w:rPr>
      </w:pPr>
    </w:p>
    <w:p>
      <w:pPr>
        <w:ind w:right="60" w:firstLine="1297"/>
        <w:spacing w:after="0" w:line="247" w:lineRule="auto"/>
        <w:rPr>
          <w:sz w:val="20"/>
          <w:szCs w:val="20"/>
          <w:color w:val="auto"/>
        </w:rPr>
      </w:pPr>
      <w:r>
        <w:rPr>
          <w:rFonts w:ascii="Arial" w:cs="Arial" w:eastAsia="Arial" w:hAnsi="Arial"/>
          <w:sz w:val="22"/>
          <w:szCs w:val="22"/>
          <w:color w:val="auto"/>
        </w:rPr>
        <w:t>Restricted Stock Unit Awards shall be evidenced by Award Agreements specifying the number of Restricted Stock Units subject to the Award, in such form as the Committee shall from time to time establish. No Restricted Stock Unit Award or purported Restricted Stock Unit Award shall be a valid and binding obligation of the Company unless evidenced by a fully executed Award Agreement. Award Agreements evidencing Restricted Stock Units may incorporate all or any of the terms of the Plan by reference, including the provisions of Section 16 with respect to Section 409A, if applicable, and shall comply with and be subject to the following terms and conditions:</w:t>
      </w:r>
    </w:p>
    <w:p>
      <w:pPr>
        <w:spacing w:after="0" w:line="188" w:lineRule="exact"/>
        <w:rPr>
          <w:sz w:val="20"/>
          <w:szCs w:val="20"/>
          <w:color w:val="auto"/>
        </w:rPr>
      </w:pPr>
    </w:p>
    <w:p>
      <w:pPr>
        <w:jc w:val="both"/>
        <w:ind w:right="40" w:firstLine="1297"/>
        <w:spacing w:after="0" w:line="256"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b w:val="1"/>
          <w:bCs w:val="1"/>
          <w:color w:val="auto"/>
        </w:rPr>
        <w:t>Grant of Restricted Stock Unit Awards.</w:t>
      </w:r>
      <w:r>
        <w:rPr>
          <w:rFonts w:ascii="Arial" w:cs="Arial" w:eastAsia="Arial" w:hAnsi="Arial"/>
          <w:sz w:val="22"/>
          <w:szCs w:val="22"/>
          <w:color w:val="auto"/>
        </w:rPr>
        <w:t xml:space="preserve"> Restricted Stock Unit Awards may be granted upon such conditions as the Committee shall determine, including, without limitation, upon the attainment of one or more Performance Goals described in Section 10.4. If</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A- 20</w:t>
      </w:r>
    </w:p>
    <w:p>
      <w:pPr>
        <w:sectPr>
          <w:pgSz w:w="11900" w:h="16838" w:orient="portrait"/>
          <w:cols w:equalWidth="0" w:num="1">
            <w:col w:w="11380"/>
          </w:cols>
          <w:pgMar w:left="240" w:top="585" w:right="279" w:bottom="1440" w:gutter="0" w:footer="0" w:header="0"/>
        </w:sectPr>
      </w:pPr>
    </w:p>
    <w:bookmarkStart w:id="54" w:name="page55"/>
    <w:bookmarkEnd w:id="54"/>
    <w:p>
      <w:pPr>
        <w:jc w:val="both"/>
        <w:ind w:right="60"/>
        <w:spacing w:after="0" w:line="253" w:lineRule="auto"/>
        <w:rPr>
          <w:sz w:val="20"/>
          <w:szCs w:val="20"/>
          <w:color w:val="auto"/>
        </w:rPr>
      </w:pPr>
      <w:r>
        <w:rPr>
          <w:rFonts w:ascii="Arial" w:cs="Arial" w:eastAsia="Arial" w:hAnsi="Arial"/>
          <w:sz w:val="22"/>
          <w:szCs w:val="22"/>
          <w:color w:val="auto"/>
        </w:rPr>
        <w:t>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220" w:lineRule="exact"/>
        <w:rPr>
          <w:sz w:val="20"/>
          <w:szCs w:val="20"/>
          <w:color w:val="auto"/>
        </w:rPr>
      </w:pPr>
    </w:p>
    <w:p>
      <w:pPr>
        <w:ind w:right="280" w:firstLine="1297"/>
        <w:spacing w:after="0" w:line="298"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b w:val="1"/>
          <w:bCs w:val="1"/>
          <w:color w:val="auto"/>
        </w:rPr>
        <w:t>Purchase Price.</w:t>
      </w:r>
      <w:r>
        <w:rPr>
          <w:rFonts w:ascii="Arial" w:cs="Arial" w:eastAsia="Arial" w:hAnsi="Arial"/>
          <w:sz w:val="19"/>
          <w:szCs w:val="19"/>
          <w:color w:val="auto"/>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183" w:lineRule="exact"/>
        <w:rPr>
          <w:sz w:val="20"/>
          <w:szCs w:val="20"/>
          <w:color w:val="auto"/>
        </w:rPr>
      </w:pPr>
    </w:p>
    <w:p>
      <w:pPr>
        <w:ind w:right="160" w:firstLine="1297"/>
        <w:spacing w:after="0" w:line="252"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b w:val="1"/>
          <w:bCs w:val="1"/>
          <w:color w:val="auto"/>
        </w:rPr>
        <w:t>Vesting.</w:t>
      </w:r>
      <w:r>
        <w:rPr>
          <w:rFonts w:ascii="Arial" w:cs="Arial" w:eastAsia="Arial" w:hAnsi="Arial"/>
          <w:sz w:val="22"/>
          <w:szCs w:val="22"/>
          <w:color w:val="auto"/>
        </w:rPr>
        <w:t xml:space="preserve">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221" w:lineRule="exact"/>
        <w:rPr>
          <w:sz w:val="20"/>
          <w:szCs w:val="20"/>
          <w:color w:val="auto"/>
        </w:rPr>
      </w:pPr>
    </w:p>
    <w:p>
      <w:pPr>
        <w:ind w:firstLine="1297"/>
        <w:spacing w:after="0" w:line="285"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b w:val="1"/>
          <w:bCs w:val="1"/>
          <w:color w:val="auto"/>
        </w:rPr>
        <w:t>Voting Rights, Dividend Equivalent Rights and Distributions.</w:t>
      </w:r>
      <w:r>
        <w:rPr>
          <w:rFonts w:ascii="Arial" w:cs="Arial" w:eastAsia="Arial" w:hAnsi="Arial"/>
          <w:sz w:val="19"/>
          <w:szCs w:val="19"/>
          <w:color w:val="auto"/>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receive Dividend Equivalents with respect to the payment of cash dividends on Stock during the period beginning on the date such Award is granted and ending, with respect to the particular shares subject to the Award, on the earlier of the date the Award is settled or the date on which it is terminated. Such Dividend Equivalents, if any, shall be paid by crediting the Participant with additional whole Restricted Stock Units as of the date of payment of such cash dividends on Stock. The number of additional Restricted Stock Units (rounded down to the nearest whole number) to be so credited shall be determined by dividing (a) the amount of cash dividends paid on such date with respect to the number of shares of Stock represented by the Restricted Stock Units previously credited to the Participant by (b) the Fair Market Value per share of Stock on such date. Such additional Restricted Stock Units shall be subject to the same terms and conditions and shall be settled in the same manner and at the same time (or as soon thereafter as practicable) as the Restricted Stock Units originally subject to the Restricted Stock Unit Award. In the event of a dividend or distribution paid in shares of Stock or other property or any other adjustment made upon a change in the capital structure of the Company as described in Section 4.4, appropriate adjustments shall be made in the Participant’s Restricted Stock Unit Award so that it represents the right to receive upon settlement any and all new, substituted or additional securities or other property (other than normal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A- 21</w:t>
      </w:r>
    </w:p>
    <w:p>
      <w:pPr>
        <w:sectPr>
          <w:pgSz w:w="11900" w:h="16838" w:orient="portrait"/>
          <w:cols w:equalWidth="0" w:num="1">
            <w:col w:w="11400"/>
          </w:cols>
          <w:pgMar w:left="240" w:top="591" w:right="259" w:bottom="1440" w:gutter="0" w:footer="0" w:header="0"/>
        </w:sectPr>
      </w:pPr>
    </w:p>
    <w:bookmarkStart w:id="55" w:name="page56"/>
    <w:bookmarkEnd w:id="55"/>
    <w:p>
      <w:pPr>
        <w:ind w:right="160" w:firstLine="1297"/>
        <w:spacing w:after="0" w:line="304"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b w:val="1"/>
          <w:bCs w:val="1"/>
          <w:color w:val="auto"/>
        </w:rPr>
        <w:t>Effect of Termination of Service.</w:t>
      </w:r>
      <w:r>
        <w:rPr>
          <w:rFonts w:ascii="Arial" w:cs="Arial" w:eastAsia="Arial" w:hAnsi="Arial"/>
          <w:sz w:val="19"/>
          <w:szCs w:val="19"/>
          <w:color w:val="auto"/>
        </w:rPr>
        <w:t xml:space="preserve">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176" w:lineRule="exact"/>
        <w:rPr>
          <w:sz w:val="20"/>
          <w:szCs w:val="20"/>
          <w:color w:val="auto"/>
        </w:rPr>
      </w:pPr>
    </w:p>
    <w:p>
      <w:pPr>
        <w:ind w:firstLine="1297"/>
        <w:spacing w:after="0" w:line="265"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b w:val="1"/>
          <w:bCs w:val="1"/>
          <w:color w:val="auto"/>
        </w:rPr>
        <w:t>Settlement of Restricted Stock Unit Awards.</w:t>
      </w:r>
      <w:r>
        <w:rPr>
          <w:rFonts w:ascii="Arial" w:cs="Arial" w:eastAsia="Arial" w:hAnsi="Arial"/>
          <w:sz w:val="20"/>
          <w:szCs w:val="20"/>
          <w:color w:val="auto"/>
        </w:rPr>
        <w:t xml:space="preserve"> The Company shall issue to a Participant on the date on which Restricted Stock Units subject to the Participant’s Restricted Stock Unit Award vest or on such other date determined by the Committee, in its discretion,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If permitted by the Committee, subject to the provisions of Section 16 with respect to Section 409A, the Participant may elect in accordance with terms specified in the Award Agreement to defer receipt of all or any portion of the shares of Stock or other property otherwise issuable to the Participant pursuant to this Section, and such deferred issuance date(s) and amount(s) elected by the Participant shall be set forth in the Award Agreement. Notwithstanding the foregoing, the Committee, in its discretion, may provide for settlement of any Restricted Stock Unit Award by payment to the Participant in cash of an amount equal to the Fair Market Value on the payment date of the shares of Stock or other property otherwise issuable to the Participant pursuant to this Section. The Committee, in its discretion, may provide in any Award Agreement evidencing a Restricted Stock Unit Award that, if the settlement of the Award with respect to any shares would otherwise occur on a day on which the sale of such shares would violate the Company’s Insider Trading Policy, then the settlement with respect to such shares shall occur on the next day on which the sale of such shares would not violate the Insider Trading Policy, but in any event on or before the later of the last day of the calendar year of, or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calendar month following, the original settlement date.</w:t>
      </w:r>
    </w:p>
    <w:p>
      <w:pPr>
        <w:spacing w:after="0" w:line="223" w:lineRule="exact"/>
        <w:rPr>
          <w:sz w:val="20"/>
          <w:szCs w:val="20"/>
          <w:color w:val="auto"/>
        </w:rPr>
      </w:pPr>
    </w:p>
    <w:p>
      <w:pPr>
        <w:ind w:right="220" w:firstLine="1297"/>
        <w:spacing w:after="0" w:line="298"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b w:val="1"/>
          <w:bCs w:val="1"/>
          <w:color w:val="auto"/>
        </w:rPr>
        <w:t>Nontransferability of Restricted Stock Unit Awards.</w:t>
      </w:r>
      <w:r>
        <w:rPr>
          <w:rFonts w:ascii="Arial" w:cs="Arial" w:eastAsia="Arial" w:hAnsi="Arial"/>
          <w:sz w:val="19"/>
          <w:szCs w:val="19"/>
          <w:color w:val="auto"/>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183" w:lineRule="exact"/>
        <w:rPr>
          <w:sz w:val="20"/>
          <w:szCs w:val="20"/>
          <w:color w:val="auto"/>
        </w:rPr>
      </w:pPr>
    </w:p>
    <w:p>
      <w:pPr>
        <w:ind w:left="1140" w:hanging="484"/>
        <w:spacing w:after="0"/>
        <w:tabs>
          <w:tab w:leader="none" w:pos="1140" w:val="left"/>
        </w:tabs>
        <w:numPr>
          <w:ilvl w:val="0"/>
          <w:numId w:val="59"/>
        </w:numPr>
        <w:rPr>
          <w:rFonts w:ascii="Arial" w:cs="Arial" w:eastAsia="Arial" w:hAnsi="Arial"/>
          <w:sz w:val="22"/>
          <w:szCs w:val="22"/>
          <w:color w:val="auto"/>
        </w:rPr>
      </w:pPr>
      <w:r>
        <w:rPr>
          <w:rFonts w:ascii="Arial" w:cs="Arial" w:eastAsia="Arial" w:hAnsi="Arial"/>
          <w:sz w:val="22"/>
          <w:szCs w:val="22"/>
          <w:b w:val="1"/>
          <w:bCs w:val="1"/>
          <w:u w:val="single" w:color="auto"/>
          <w:color w:val="auto"/>
        </w:rPr>
        <w:t>PERFORMANCE AWARDS</w:t>
      </w:r>
      <w:r>
        <w:rPr>
          <w:rFonts w:ascii="Arial" w:cs="Arial" w:eastAsia="Arial" w:hAnsi="Arial"/>
          <w:sz w:val="22"/>
          <w:szCs w:val="22"/>
          <w:b w:val="1"/>
          <w:bCs w:val="1"/>
          <w:color w:val="auto"/>
        </w:rPr>
        <w:t>.</w:t>
      </w:r>
    </w:p>
    <w:p>
      <w:pPr>
        <w:spacing w:after="0" w:line="266" w:lineRule="exact"/>
        <w:rPr>
          <w:sz w:val="20"/>
          <w:szCs w:val="20"/>
          <w:color w:val="auto"/>
        </w:rPr>
      </w:pPr>
    </w:p>
    <w:p>
      <w:pPr>
        <w:ind w:right="100" w:firstLine="1297"/>
        <w:spacing w:after="0" w:line="263" w:lineRule="auto"/>
        <w:rPr>
          <w:sz w:val="20"/>
          <w:szCs w:val="20"/>
          <w:color w:val="auto"/>
        </w:rPr>
      </w:pPr>
      <w:r>
        <w:rPr>
          <w:rFonts w:ascii="Arial" w:cs="Arial" w:eastAsia="Arial" w:hAnsi="Arial"/>
          <w:sz w:val="21"/>
          <w:szCs w:val="21"/>
          <w:color w:val="auto"/>
        </w:rPr>
        <w:t>Performance Awards shall be evidenced by Award Agreements in such form as the Committee shall from time to time establish. No Performance Award or purported Performance Award shall be a valid and binding obligation of the Company unless evidenced by a fully executed Award Agreement. Award Agreements evidencing Performance Awards may incorporate all or any of the terms of the Plan by reference, including the provisions of Section 16 with respect to Section 409A, if applicable, and shall comply with and be subject to the following terms and conditions:</w:t>
      </w:r>
    </w:p>
    <w:p>
      <w:pPr>
        <w:spacing w:after="0" w:line="170" w:lineRule="exact"/>
        <w:rPr>
          <w:sz w:val="20"/>
          <w:szCs w:val="20"/>
          <w:color w:val="auto"/>
        </w:rPr>
      </w:pPr>
    </w:p>
    <w:p>
      <w:pPr>
        <w:ind w:right="100" w:firstLine="1297"/>
        <w:spacing w:after="0" w:line="256"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b w:val="1"/>
          <w:bCs w:val="1"/>
          <w:color w:val="auto"/>
        </w:rPr>
        <w:t>Types of Performance Awards Authorized.</w:t>
      </w:r>
      <w:r>
        <w:rPr>
          <w:rFonts w:ascii="Arial" w:cs="Arial" w:eastAsia="Arial" w:hAnsi="Arial"/>
          <w:sz w:val="22"/>
          <w:szCs w:val="22"/>
          <w:color w:val="auto"/>
        </w:rPr>
        <w:t xml:space="preserve"> Performance Awards may be granted in the form of either Performance Shares or Performance Units. Each Award Agreement evidencing a Performance Award shall specify the number of Performance Shares or Performance Units subject thereto,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A- 22</w:t>
      </w:r>
    </w:p>
    <w:p>
      <w:pPr>
        <w:sectPr>
          <w:pgSz w:w="11900" w:h="16838" w:orient="portrait"/>
          <w:cols w:equalWidth="0" w:num="1">
            <w:col w:w="11420"/>
          </w:cols>
          <w:pgMar w:left="240" w:top="585" w:right="239" w:bottom="1440" w:gutter="0" w:footer="0" w:header="0"/>
        </w:sectPr>
      </w:pPr>
    </w:p>
    <w:bookmarkStart w:id="56" w:name="page57"/>
    <w:bookmarkEnd w:id="56"/>
    <w:p>
      <w:pPr>
        <w:ind w:right="280"/>
        <w:spacing w:after="0" w:line="263" w:lineRule="auto"/>
        <w:rPr>
          <w:sz w:val="20"/>
          <w:szCs w:val="20"/>
          <w:color w:val="auto"/>
        </w:rPr>
      </w:pPr>
      <w:r>
        <w:rPr>
          <w:rFonts w:ascii="Arial" w:cs="Arial" w:eastAsia="Arial" w:hAnsi="Arial"/>
          <w:sz w:val="22"/>
          <w:szCs w:val="22"/>
          <w:color w:val="auto"/>
        </w:rPr>
        <w:t>the Performance Award Formula, the Performance Goal(s) and Performance Period applicable to the Award, and the other terms, conditions and restrictions of the Award.</w:t>
      </w:r>
    </w:p>
    <w:p>
      <w:pPr>
        <w:spacing w:after="0" w:line="209" w:lineRule="exact"/>
        <w:rPr>
          <w:sz w:val="20"/>
          <w:szCs w:val="20"/>
          <w:color w:val="auto"/>
        </w:rPr>
      </w:pPr>
    </w:p>
    <w:p>
      <w:pPr>
        <w:ind w:right="40" w:firstLine="1297"/>
        <w:spacing w:after="0" w:line="261"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b w:val="1"/>
          <w:bCs w:val="1"/>
          <w:color w:val="auto"/>
        </w:rPr>
        <w:t>Initial Value of Performance Shares and Performance Units.</w:t>
      </w:r>
      <w:r>
        <w:rPr>
          <w:rFonts w:ascii="Arial" w:cs="Arial" w:eastAsia="Arial" w:hAnsi="Arial"/>
          <w:sz w:val="21"/>
          <w:szCs w:val="21"/>
          <w:color w:val="auto"/>
        </w:rPr>
        <w:t xml:space="preserve"> Unless otherwise provided by the Committee in granting a Performance Award, each Performance Share shall have an initial monetary value equal to the Fair Market Value of one (1) share of Stock, subject to adjustment as provided in Section 4.4,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215"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b w:val="1"/>
          <w:bCs w:val="1"/>
          <w:color w:val="auto"/>
        </w:rPr>
        <w:t>Establishment of Performance Period, Performance Goals and Performance Award Formula.</w:t>
      </w:r>
      <w:r>
        <w:rPr>
          <w:rFonts w:ascii="Arial" w:cs="Arial" w:eastAsia="Arial" w:hAnsi="Arial"/>
          <w:sz w:val="19"/>
          <w:szCs w:val="19"/>
          <w:color w:val="auto"/>
        </w:rPr>
        <w:t xml:space="preserve">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Unless otherwise permitted in compliance with the requirements under Section 162(m) with respect to each Performance Award intended to result in the payment of Performance-Based Compensation, the Committee shall establish the Performance Goal(s) and Performance Award Formula applicable to each Performance Award no later than the earlier of (a) the date ninety (90) days after the commencement of the applicable Performance Period or (b) the date on which 25% of the Performance Period has elapsed, and, in any event, at a time when the outcome of the Performance Goals remains substantially uncertain. Once established, the Performance Goals and Performance Award Formula applicable to a Covered Employee shall not be changed during the Performance Period. The Company shall notify each Participant granted a Performance Award of the terms of such Award, including the Performance Period, Performance Goal(s) and Performance Award Formula.</w:t>
      </w:r>
    </w:p>
    <w:p>
      <w:pPr>
        <w:spacing w:after="0" w:line="190" w:lineRule="exact"/>
        <w:rPr>
          <w:sz w:val="20"/>
          <w:szCs w:val="20"/>
          <w:color w:val="auto"/>
        </w:rPr>
      </w:pPr>
    </w:p>
    <w:p>
      <w:pPr>
        <w:jc w:val="both"/>
        <w:ind w:right="60" w:firstLine="1297"/>
        <w:spacing w:after="0" w:line="256"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b w:val="1"/>
          <w:bCs w:val="1"/>
          <w:color w:val="auto"/>
        </w:rPr>
        <w:t>Measurement of Performance Goals.</w:t>
      </w:r>
      <w:r>
        <w:rPr>
          <w:rFonts w:ascii="Arial" w:cs="Arial" w:eastAsia="Arial" w:hAnsi="Arial"/>
          <w:sz w:val="22"/>
          <w:szCs w:val="22"/>
          <w:color w:val="auto"/>
        </w:rPr>
        <w:t xml:space="preserve"> Performance Goals shall be established by the Committee on the basis of targets to be attained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Targets</w:t>
      </w:r>
      <w:r>
        <w:rPr>
          <w:rFonts w:ascii="Arial" w:cs="Arial" w:eastAsia="Arial" w:hAnsi="Arial"/>
          <w:sz w:val="22"/>
          <w:szCs w:val="22"/>
          <w:i w:val="1"/>
          <w:iCs w:val="1"/>
          <w:color w:val="auto"/>
        </w:rPr>
        <w:t>”</w:t>
      </w:r>
      <w:r>
        <w:rPr>
          <w:rFonts w:ascii="Arial" w:cs="Arial" w:eastAsia="Arial" w:hAnsi="Arial"/>
          <w:sz w:val="22"/>
          <w:szCs w:val="22"/>
          <w:color w:val="auto"/>
        </w:rPr>
        <w:t xml:space="preserve">) with respect to one or more measures of business or financial performance (each, a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Measure</w:t>
      </w:r>
      <w:r>
        <w:rPr>
          <w:rFonts w:ascii="Arial" w:cs="Arial" w:eastAsia="Arial" w:hAnsi="Arial"/>
          <w:sz w:val="22"/>
          <w:szCs w:val="22"/>
          <w:i w:val="1"/>
          <w:iCs w:val="1"/>
          <w:color w:val="auto"/>
        </w:rPr>
        <w:t>”</w:t>
      </w:r>
      <w:r>
        <w:rPr>
          <w:rFonts w:ascii="Arial" w:cs="Arial" w:eastAsia="Arial" w:hAnsi="Arial"/>
          <w:sz w:val="22"/>
          <w:szCs w:val="22"/>
          <w:color w:val="auto"/>
        </w:rPr>
        <w:t>), subject to the following:</w:t>
      </w:r>
    </w:p>
    <w:p>
      <w:pPr>
        <w:spacing w:after="0" w:line="223" w:lineRule="exact"/>
        <w:rPr>
          <w:sz w:val="20"/>
          <w:szCs w:val="20"/>
          <w:color w:val="auto"/>
        </w:rPr>
      </w:pPr>
    </w:p>
    <w:p>
      <w:pPr>
        <w:ind w:right="180" w:firstLine="1953"/>
        <w:spacing w:after="0" w:line="294" w:lineRule="auto"/>
        <w:tabs>
          <w:tab w:leader="none" w:pos="2401" w:val="left"/>
        </w:tabs>
        <w:numPr>
          <w:ilvl w:val="0"/>
          <w:numId w:val="6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Performance Measures. </w:t>
      </w:r>
      <w:r>
        <w:rPr>
          <w:rFonts w:ascii="Arial" w:cs="Arial" w:eastAsia="Arial" w:hAnsi="Arial"/>
          <w:sz w:val="19"/>
          <w:szCs w:val="19"/>
          <w:color w:val="auto"/>
        </w:rPr>
        <w:t>Performance Measures shall have the same meanings as used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financial statements, or, if such terms are not used in the Company’s financial statements, they shall have the meaning applied pursuant to generally accepted accounting principles, or as used generally in the Company’s industry. Performance Measures shall be calculated with respect to the Company and each Subsidiary Corporation consolidated therewith for financial reporting purposes or such division or other business unit as may be selected by the Committee. For purposes of the Plan, the Performance Measures applicable to a Performance Award shall be calculated in accordance with generally accepted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A- 23</w:t>
      </w:r>
    </w:p>
    <w:p>
      <w:pPr>
        <w:sectPr>
          <w:pgSz w:w="11900" w:h="16838" w:orient="portrait"/>
          <w:cols w:equalWidth="0" w:num="1">
            <w:col w:w="11420"/>
          </w:cols>
          <w:pgMar w:left="240" w:top="591" w:right="239" w:bottom="1440" w:gutter="0" w:footer="0" w:header="0"/>
        </w:sectPr>
      </w:pPr>
    </w:p>
    <w:bookmarkStart w:id="57" w:name="page58"/>
    <w:bookmarkEnd w:id="57"/>
    <w:p>
      <w:pPr>
        <w:spacing w:after="0" w:line="294" w:lineRule="auto"/>
        <w:rPr>
          <w:sz w:val="20"/>
          <w:szCs w:val="20"/>
          <w:color w:val="auto"/>
        </w:rPr>
      </w:pPr>
      <w:r>
        <w:rPr>
          <w:rFonts w:ascii="Arial" w:cs="Arial" w:eastAsia="Arial" w:hAnsi="Arial"/>
          <w:sz w:val="19"/>
          <w:szCs w:val="19"/>
          <w:color w:val="auto"/>
        </w:rPr>
        <w:t>accounting principles, but prior to the accrual or payment of any Performance Award for the same Performance Period and excluding the effect (whether positive or negative) of any change in accounting standards or any extraordinary, unusual or nonrecurring item,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 Performance Measures may be one or more of the following, as determined by the Committee:</w:t>
      </w:r>
    </w:p>
    <w:p>
      <w:pPr>
        <w:spacing w:after="0" w:line="190" w:lineRule="exact"/>
        <w:rPr>
          <w:sz w:val="20"/>
          <w:szCs w:val="20"/>
          <w:color w:val="auto"/>
        </w:rPr>
      </w:pPr>
    </w:p>
    <w:p>
      <w:pPr>
        <w:ind w:left="3460" w:hanging="859"/>
        <w:spacing w:after="0"/>
        <w:tabs>
          <w:tab w:leader="none" w:pos="34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revenue;</w:t>
      </w:r>
    </w:p>
    <w:p>
      <w:pPr>
        <w:spacing w:after="0" w:line="260" w:lineRule="exact"/>
        <w:rPr>
          <w:rFonts w:ascii="Arial" w:cs="Arial" w:eastAsia="Arial" w:hAnsi="Arial"/>
          <w:sz w:val="22"/>
          <w:szCs w:val="22"/>
          <w:color w:val="auto"/>
        </w:rPr>
      </w:pPr>
    </w:p>
    <w:p>
      <w:pPr>
        <w:ind w:left="3520" w:hanging="919"/>
        <w:spacing w:after="0"/>
        <w:tabs>
          <w:tab w:leader="none" w:pos="35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sales;</w:t>
      </w:r>
    </w:p>
    <w:p>
      <w:pPr>
        <w:spacing w:after="0" w:line="260" w:lineRule="exact"/>
        <w:rPr>
          <w:rFonts w:ascii="Arial" w:cs="Arial" w:eastAsia="Arial" w:hAnsi="Arial"/>
          <w:sz w:val="22"/>
          <w:szCs w:val="22"/>
          <w:color w:val="auto"/>
        </w:rPr>
      </w:pPr>
    </w:p>
    <w:p>
      <w:pPr>
        <w:ind w:left="3580" w:hanging="979"/>
        <w:spacing w:after="0"/>
        <w:tabs>
          <w:tab w:leader="none" w:pos="35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expenses;</w:t>
      </w:r>
    </w:p>
    <w:p>
      <w:pPr>
        <w:spacing w:after="0" w:line="260" w:lineRule="exact"/>
        <w:rPr>
          <w:rFonts w:ascii="Arial" w:cs="Arial" w:eastAsia="Arial" w:hAnsi="Arial"/>
          <w:sz w:val="22"/>
          <w:szCs w:val="22"/>
          <w:color w:val="auto"/>
        </w:rPr>
      </w:pPr>
    </w:p>
    <w:p>
      <w:pPr>
        <w:ind w:left="3560" w:hanging="959"/>
        <w:spacing w:after="0"/>
        <w:tabs>
          <w:tab w:leader="none" w:pos="35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operating income;</w:t>
      </w:r>
    </w:p>
    <w:p>
      <w:pPr>
        <w:spacing w:after="0" w:line="260" w:lineRule="exact"/>
        <w:rPr>
          <w:rFonts w:ascii="Arial" w:cs="Arial" w:eastAsia="Arial" w:hAnsi="Arial"/>
          <w:sz w:val="22"/>
          <w:szCs w:val="22"/>
          <w:color w:val="auto"/>
        </w:rPr>
      </w:pPr>
    </w:p>
    <w:p>
      <w:pPr>
        <w:ind w:left="3500" w:hanging="899"/>
        <w:spacing w:after="0"/>
        <w:tabs>
          <w:tab w:leader="none" w:pos="35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gross margin;</w:t>
      </w:r>
    </w:p>
    <w:p>
      <w:pPr>
        <w:spacing w:after="0" w:line="260" w:lineRule="exact"/>
        <w:rPr>
          <w:rFonts w:ascii="Arial" w:cs="Arial" w:eastAsia="Arial" w:hAnsi="Arial"/>
          <w:sz w:val="22"/>
          <w:szCs w:val="22"/>
          <w:color w:val="auto"/>
        </w:rPr>
      </w:pPr>
    </w:p>
    <w:p>
      <w:pPr>
        <w:ind w:left="3560" w:hanging="959"/>
        <w:spacing w:after="0"/>
        <w:tabs>
          <w:tab w:leader="none" w:pos="35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operating margin;</w:t>
      </w:r>
    </w:p>
    <w:p>
      <w:pPr>
        <w:spacing w:after="0" w:line="260" w:lineRule="exact"/>
        <w:rPr>
          <w:rFonts w:ascii="Arial" w:cs="Arial" w:eastAsia="Arial" w:hAnsi="Arial"/>
          <w:sz w:val="22"/>
          <w:szCs w:val="22"/>
          <w:color w:val="auto"/>
        </w:rPr>
      </w:pPr>
    </w:p>
    <w:p>
      <w:pPr>
        <w:ind w:left="3620" w:hanging="1019"/>
        <w:spacing w:after="0"/>
        <w:tabs>
          <w:tab w:leader="none" w:pos="36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earnings before any one or more of: stock-based compensation expense, interest, taxes,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depreciation and amortization;</w:t>
      </w:r>
    </w:p>
    <w:p>
      <w:pPr>
        <w:spacing w:after="0" w:line="242" w:lineRule="exact"/>
        <w:rPr>
          <w:rFonts w:ascii="Arial" w:cs="Arial" w:eastAsia="Arial" w:hAnsi="Arial"/>
          <w:sz w:val="19"/>
          <w:szCs w:val="19"/>
          <w:color w:val="auto"/>
        </w:rPr>
      </w:pPr>
    </w:p>
    <w:p>
      <w:pPr>
        <w:ind w:left="3680" w:hanging="1079"/>
        <w:spacing w:after="0"/>
        <w:tabs>
          <w:tab w:leader="none" w:pos="36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pre-tax profit;</w:t>
      </w:r>
    </w:p>
    <w:p>
      <w:pPr>
        <w:spacing w:after="0" w:line="260" w:lineRule="exact"/>
        <w:rPr>
          <w:rFonts w:ascii="Arial" w:cs="Arial" w:eastAsia="Arial" w:hAnsi="Arial"/>
          <w:sz w:val="22"/>
          <w:szCs w:val="22"/>
          <w:color w:val="auto"/>
        </w:rPr>
      </w:pPr>
    </w:p>
    <w:p>
      <w:pPr>
        <w:ind w:left="3560" w:hanging="959"/>
        <w:spacing w:after="0"/>
        <w:tabs>
          <w:tab w:leader="none" w:pos="35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net operating income;</w:t>
      </w:r>
    </w:p>
    <w:p>
      <w:pPr>
        <w:spacing w:after="0" w:line="260" w:lineRule="exact"/>
        <w:rPr>
          <w:rFonts w:ascii="Arial" w:cs="Arial" w:eastAsia="Arial" w:hAnsi="Arial"/>
          <w:sz w:val="22"/>
          <w:szCs w:val="22"/>
          <w:color w:val="auto"/>
        </w:rPr>
      </w:pPr>
    </w:p>
    <w:p>
      <w:pPr>
        <w:ind w:left="3500" w:hanging="899"/>
        <w:spacing w:after="0"/>
        <w:tabs>
          <w:tab w:leader="none" w:pos="35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net income;</w:t>
      </w:r>
    </w:p>
    <w:p>
      <w:pPr>
        <w:spacing w:after="0" w:line="260" w:lineRule="exact"/>
        <w:rPr>
          <w:rFonts w:ascii="Arial" w:cs="Arial" w:eastAsia="Arial" w:hAnsi="Arial"/>
          <w:sz w:val="22"/>
          <w:szCs w:val="22"/>
          <w:color w:val="auto"/>
        </w:rPr>
      </w:pPr>
    </w:p>
    <w:p>
      <w:pPr>
        <w:ind w:left="3560" w:hanging="959"/>
        <w:spacing w:after="0"/>
        <w:tabs>
          <w:tab w:leader="none" w:pos="35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economic value added;</w:t>
      </w:r>
    </w:p>
    <w:p>
      <w:pPr>
        <w:spacing w:after="0" w:line="260" w:lineRule="exact"/>
        <w:rPr>
          <w:rFonts w:ascii="Arial" w:cs="Arial" w:eastAsia="Arial" w:hAnsi="Arial"/>
          <w:sz w:val="22"/>
          <w:szCs w:val="22"/>
          <w:color w:val="auto"/>
        </w:rPr>
      </w:pPr>
    </w:p>
    <w:p>
      <w:pPr>
        <w:ind w:left="3620" w:hanging="1019"/>
        <w:spacing w:after="0"/>
        <w:tabs>
          <w:tab w:leader="none" w:pos="36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free cash flow;</w:t>
      </w:r>
    </w:p>
    <w:p>
      <w:pPr>
        <w:spacing w:after="0" w:line="260" w:lineRule="exact"/>
        <w:rPr>
          <w:rFonts w:ascii="Arial" w:cs="Arial" w:eastAsia="Arial" w:hAnsi="Arial"/>
          <w:sz w:val="22"/>
          <w:szCs w:val="22"/>
          <w:color w:val="auto"/>
        </w:rPr>
      </w:pPr>
    </w:p>
    <w:p>
      <w:pPr>
        <w:ind w:left="3680" w:hanging="1079"/>
        <w:spacing w:after="0"/>
        <w:tabs>
          <w:tab w:leader="none" w:pos="36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operating cash flow;</w:t>
      </w:r>
    </w:p>
    <w:p>
      <w:pPr>
        <w:spacing w:after="0" w:line="260" w:lineRule="exact"/>
        <w:rPr>
          <w:rFonts w:ascii="Arial" w:cs="Arial" w:eastAsia="Arial" w:hAnsi="Arial"/>
          <w:sz w:val="22"/>
          <w:szCs w:val="22"/>
          <w:color w:val="auto"/>
        </w:rPr>
      </w:pPr>
    </w:p>
    <w:p>
      <w:pPr>
        <w:ind w:left="3660" w:hanging="1059"/>
        <w:spacing w:after="0"/>
        <w:tabs>
          <w:tab w:leader="none" w:pos="36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stock price;</w:t>
      </w:r>
    </w:p>
    <w:p>
      <w:pPr>
        <w:spacing w:after="0" w:line="260" w:lineRule="exact"/>
        <w:rPr>
          <w:rFonts w:ascii="Arial" w:cs="Arial" w:eastAsia="Arial" w:hAnsi="Arial"/>
          <w:sz w:val="22"/>
          <w:szCs w:val="22"/>
          <w:color w:val="auto"/>
        </w:rPr>
      </w:pPr>
    </w:p>
    <w:p>
      <w:pPr>
        <w:ind w:left="3600" w:hanging="999"/>
        <w:spacing w:after="0"/>
        <w:tabs>
          <w:tab w:leader="none" w:pos="36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earnings per share;</w:t>
      </w:r>
    </w:p>
    <w:p>
      <w:pPr>
        <w:spacing w:after="0" w:line="260" w:lineRule="exact"/>
        <w:rPr>
          <w:rFonts w:ascii="Arial" w:cs="Arial" w:eastAsia="Arial" w:hAnsi="Arial"/>
          <w:sz w:val="22"/>
          <w:szCs w:val="22"/>
          <w:color w:val="auto"/>
        </w:rPr>
      </w:pPr>
    </w:p>
    <w:p>
      <w:pPr>
        <w:ind w:left="3660" w:hanging="1059"/>
        <w:spacing w:after="0"/>
        <w:tabs>
          <w:tab w:leader="none" w:pos="36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return on stockholder equity;</w:t>
      </w:r>
    </w:p>
    <w:p>
      <w:pPr>
        <w:spacing w:after="0" w:line="260" w:lineRule="exact"/>
        <w:rPr>
          <w:rFonts w:ascii="Arial" w:cs="Arial" w:eastAsia="Arial" w:hAnsi="Arial"/>
          <w:sz w:val="22"/>
          <w:szCs w:val="22"/>
          <w:color w:val="auto"/>
        </w:rPr>
      </w:pPr>
    </w:p>
    <w:p>
      <w:pPr>
        <w:ind w:left="3720" w:hanging="1119"/>
        <w:spacing w:after="0"/>
        <w:tabs>
          <w:tab w:leader="none" w:pos="37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return on capital;</w:t>
      </w:r>
    </w:p>
    <w:p>
      <w:pPr>
        <w:spacing w:after="0" w:line="260" w:lineRule="exact"/>
        <w:rPr>
          <w:rFonts w:ascii="Arial" w:cs="Arial" w:eastAsia="Arial" w:hAnsi="Arial"/>
          <w:sz w:val="22"/>
          <w:szCs w:val="22"/>
          <w:color w:val="auto"/>
        </w:rPr>
      </w:pPr>
    </w:p>
    <w:p>
      <w:pPr>
        <w:ind w:left="3780" w:hanging="1179"/>
        <w:spacing w:after="0"/>
        <w:tabs>
          <w:tab w:leader="none" w:pos="37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return on assets;</w:t>
      </w:r>
    </w:p>
    <w:p>
      <w:pPr>
        <w:spacing w:after="0" w:line="260" w:lineRule="exact"/>
        <w:rPr>
          <w:rFonts w:ascii="Arial" w:cs="Arial" w:eastAsia="Arial" w:hAnsi="Arial"/>
          <w:sz w:val="22"/>
          <w:szCs w:val="22"/>
          <w:color w:val="auto"/>
        </w:rPr>
      </w:pPr>
    </w:p>
    <w:p>
      <w:pPr>
        <w:ind w:left="3660" w:hanging="1059"/>
        <w:spacing w:after="0"/>
        <w:tabs>
          <w:tab w:leader="none" w:pos="36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return on investment;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A- 24</w:t>
      </w:r>
    </w:p>
    <w:p>
      <w:pPr>
        <w:sectPr>
          <w:pgSz w:w="11900" w:h="16838" w:orient="portrait"/>
          <w:cols w:equalWidth="0" w:num="1">
            <w:col w:w="11400"/>
          </w:cols>
          <w:pgMar w:left="240" w:top="591" w:right="259" w:bottom="1440" w:gutter="0" w:footer="0" w:header="0"/>
        </w:sectPr>
      </w:pPr>
    </w:p>
    <w:bookmarkStart w:id="58" w:name="page59"/>
    <w:bookmarkEnd w:id="58"/>
    <w:p>
      <w:pPr>
        <w:ind w:left="3520" w:hanging="999"/>
        <w:spacing w:after="0"/>
        <w:tabs>
          <w:tab w:leader="none" w:pos="35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employee satisfaction;</w:t>
      </w:r>
    </w:p>
    <w:p>
      <w:pPr>
        <w:spacing w:after="0" w:line="260" w:lineRule="exact"/>
        <w:rPr>
          <w:rFonts w:ascii="Arial" w:cs="Arial" w:eastAsia="Arial" w:hAnsi="Arial"/>
          <w:sz w:val="22"/>
          <w:szCs w:val="22"/>
          <w:color w:val="auto"/>
        </w:rPr>
      </w:pPr>
    </w:p>
    <w:p>
      <w:pPr>
        <w:ind w:left="3580" w:hanging="1059"/>
        <w:spacing w:after="0"/>
        <w:tabs>
          <w:tab w:leader="none" w:pos="35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employee retention;</w:t>
      </w:r>
    </w:p>
    <w:p>
      <w:pPr>
        <w:spacing w:after="0" w:line="260" w:lineRule="exact"/>
        <w:rPr>
          <w:rFonts w:ascii="Arial" w:cs="Arial" w:eastAsia="Arial" w:hAnsi="Arial"/>
          <w:sz w:val="22"/>
          <w:szCs w:val="22"/>
          <w:color w:val="auto"/>
        </w:rPr>
      </w:pPr>
    </w:p>
    <w:p>
      <w:pPr>
        <w:ind w:left="3640" w:hanging="1119"/>
        <w:spacing w:after="0"/>
        <w:tabs>
          <w:tab w:leader="none" w:pos="36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balance of cash, cash equivalents and marketable securities;</w:t>
      </w:r>
    </w:p>
    <w:p>
      <w:pPr>
        <w:spacing w:after="0" w:line="260" w:lineRule="exact"/>
        <w:rPr>
          <w:rFonts w:ascii="Arial" w:cs="Arial" w:eastAsia="Arial" w:hAnsi="Arial"/>
          <w:sz w:val="22"/>
          <w:szCs w:val="22"/>
          <w:color w:val="auto"/>
        </w:rPr>
      </w:pPr>
    </w:p>
    <w:p>
      <w:pPr>
        <w:ind w:left="3700" w:hanging="1179"/>
        <w:spacing w:after="0"/>
        <w:tabs>
          <w:tab w:leader="none" w:pos="37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market share;</w:t>
      </w:r>
    </w:p>
    <w:p>
      <w:pPr>
        <w:spacing w:after="0" w:line="260" w:lineRule="exact"/>
        <w:rPr>
          <w:rFonts w:ascii="Arial" w:cs="Arial" w:eastAsia="Arial" w:hAnsi="Arial"/>
          <w:sz w:val="22"/>
          <w:szCs w:val="22"/>
          <w:color w:val="auto"/>
        </w:rPr>
      </w:pPr>
    </w:p>
    <w:p>
      <w:pPr>
        <w:ind w:left="3700" w:hanging="1179"/>
        <w:spacing w:after="0"/>
        <w:tabs>
          <w:tab w:leader="none" w:pos="37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customer satisfaction;</w:t>
      </w:r>
    </w:p>
    <w:p>
      <w:pPr>
        <w:spacing w:after="0" w:line="260" w:lineRule="exact"/>
        <w:rPr>
          <w:rFonts w:ascii="Arial" w:cs="Arial" w:eastAsia="Arial" w:hAnsi="Arial"/>
          <w:sz w:val="22"/>
          <w:szCs w:val="22"/>
          <w:color w:val="auto"/>
        </w:rPr>
      </w:pPr>
    </w:p>
    <w:p>
      <w:pPr>
        <w:ind w:left="3640" w:hanging="1119"/>
        <w:spacing w:after="0"/>
        <w:tabs>
          <w:tab w:leader="none" w:pos="36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product development;</w:t>
      </w:r>
    </w:p>
    <w:p>
      <w:pPr>
        <w:spacing w:after="0" w:line="260" w:lineRule="exact"/>
        <w:rPr>
          <w:rFonts w:ascii="Arial" w:cs="Arial" w:eastAsia="Arial" w:hAnsi="Arial"/>
          <w:sz w:val="22"/>
          <w:szCs w:val="22"/>
          <w:color w:val="auto"/>
        </w:rPr>
      </w:pPr>
    </w:p>
    <w:p>
      <w:pPr>
        <w:ind w:left="3700" w:hanging="1179"/>
        <w:spacing w:after="0"/>
        <w:tabs>
          <w:tab w:leader="none" w:pos="37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research and development expenses;</w:t>
      </w:r>
    </w:p>
    <w:p>
      <w:pPr>
        <w:spacing w:after="0" w:line="260" w:lineRule="exact"/>
        <w:rPr>
          <w:rFonts w:ascii="Arial" w:cs="Arial" w:eastAsia="Arial" w:hAnsi="Arial"/>
          <w:sz w:val="22"/>
          <w:szCs w:val="22"/>
          <w:color w:val="auto"/>
        </w:rPr>
      </w:pPr>
    </w:p>
    <w:p>
      <w:pPr>
        <w:ind w:left="3760" w:hanging="1239"/>
        <w:spacing w:after="0"/>
        <w:tabs>
          <w:tab w:leader="none" w:pos="37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completion of an identified special project; and</w:t>
      </w:r>
    </w:p>
    <w:p>
      <w:pPr>
        <w:spacing w:after="0" w:line="260" w:lineRule="exact"/>
        <w:rPr>
          <w:rFonts w:ascii="Arial" w:cs="Arial" w:eastAsia="Arial" w:hAnsi="Arial"/>
          <w:sz w:val="22"/>
          <w:szCs w:val="22"/>
          <w:color w:val="auto"/>
        </w:rPr>
      </w:pPr>
    </w:p>
    <w:p>
      <w:pPr>
        <w:ind w:left="3820" w:hanging="1299"/>
        <w:spacing w:after="0"/>
        <w:tabs>
          <w:tab w:leader="none" w:pos="38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completion of a joint venture or other corporate transaction.</w:t>
      </w:r>
    </w:p>
    <w:p>
      <w:pPr>
        <w:spacing w:after="0" w:line="260" w:lineRule="exact"/>
        <w:rPr>
          <w:sz w:val="20"/>
          <w:szCs w:val="20"/>
          <w:color w:val="auto"/>
        </w:rPr>
      </w:pPr>
    </w:p>
    <w:p>
      <w:pPr>
        <w:ind w:left="-80" w:firstLine="1953"/>
        <w:spacing w:after="0" w:line="302" w:lineRule="auto"/>
        <w:tabs>
          <w:tab w:leader="none" w:pos="2333" w:val="left"/>
        </w:tabs>
        <w:numPr>
          <w:ilvl w:val="0"/>
          <w:numId w:val="6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Performance Targets. </w:t>
      </w:r>
      <w:r>
        <w:rPr>
          <w:rFonts w:ascii="Arial" w:cs="Arial" w:eastAsia="Arial" w:hAnsi="Arial"/>
          <w:sz w:val="19"/>
          <w:szCs w:val="19"/>
          <w:color w:val="auto"/>
        </w:rPr>
        <w:t>Performance Targets may include a minimum, maximum, target level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intermediate levels of performance, with the final value of a Performance Award determined under the applicable Performance Award Formula by the level attained during the applicable Performance Period. A Performance Target may be stated as an absolute value or as a value determined relative to an index, budget or other standard selected by the Committee.</w:t>
      </w:r>
    </w:p>
    <w:p>
      <w:pPr>
        <w:spacing w:after="0" w:line="177"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b w:val="1"/>
          <w:bCs w:val="1"/>
          <w:color w:val="auto"/>
        </w:rPr>
        <w:t>Settlement of Performance Awards.</w:t>
      </w:r>
    </w:p>
    <w:p>
      <w:pPr>
        <w:spacing w:after="0" w:line="266" w:lineRule="exact"/>
        <w:rPr>
          <w:sz w:val="20"/>
          <w:szCs w:val="20"/>
          <w:color w:val="auto"/>
        </w:rPr>
      </w:pPr>
    </w:p>
    <w:p>
      <w:pPr>
        <w:ind w:left="-80" w:right="140" w:firstLine="1953"/>
        <w:spacing w:after="0" w:line="250" w:lineRule="auto"/>
        <w:tabs>
          <w:tab w:leader="none" w:pos="2753" w:val="left"/>
        </w:tabs>
        <w:numPr>
          <w:ilvl w:val="0"/>
          <w:numId w:val="6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Determination of Final Value. </w:t>
      </w:r>
      <w:r>
        <w:rPr>
          <w:rFonts w:ascii="Arial" w:cs="Arial" w:eastAsia="Arial" w:hAnsi="Arial"/>
          <w:sz w:val="22"/>
          <w:szCs w:val="22"/>
          <w:color w:val="auto"/>
        </w:rPr>
        <w:t>As soon as practicable following the completion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Performance Period applicable to a Performance Award, the Committee shall certify in writing the extent to which the applicable Performance Goals have been attained and the resulting final value of the Award earned by the Participant and to be paid upon its settlement in accordance with the applicable Performance Award Formula.</w:t>
      </w:r>
    </w:p>
    <w:p>
      <w:pPr>
        <w:spacing w:after="0" w:line="228" w:lineRule="exact"/>
        <w:rPr>
          <w:rFonts w:ascii="Arial" w:cs="Arial" w:eastAsia="Arial" w:hAnsi="Arial"/>
          <w:sz w:val="22"/>
          <w:szCs w:val="22"/>
          <w:color w:val="auto"/>
        </w:rPr>
      </w:pPr>
    </w:p>
    <w:p>
      <w:pPr>
        <w:ind w:left="-80" w:firstLine="1953"/>
        <w:spacing w:after="0" w:line="258" w:lineRule="auto"/>
        <w:tabs>
          <w:tab w:leader="none" w:pos="2765" w:val="left"/>
        </w:tabs>
        <w:numPr>
          <w:ilvl w:val="0"/>
          <w:numId w:val="6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Discretionary Adjustment of Award Formula. </w:t>
      </w:r>
      <w:r>
        <w:rPr>
          <w:rFonts w:ascii="Arial" w:cs="Arial" w:eastAsia="Arial" w:hAnsi="Arial"/>
          <w:sz w:val="21"/>
          <w:szCs w:val="21"/>
          <w:color w:val="auto"/>
        </w:rPr>
        <w:t>In its discretion, the Committee may, either at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time it grants a Performance Award or at any time thereafter, provide for the positive or negative adjustment of the Performance Award Formula applicable to a Performance Award granted to any Participant who is not a Covered Employee to reflect such Participant’s individual performance in his or her position with the Company or such other factors as the Committee may determine. If permitted under a Covered Employee’s Award Agreement, the Committee shall have the discretion, on the basis of such criteria as may be established by the Committee, to reduce some or all of the value of the Performance Award that would otherwise be paid to the Covered Employee upon its settlement notwithstanding the attainment of any Performance Goal and the resulting value of the Performance Award determined in accordance with the Performance Award Formula. No such reduction may result in an increase in the amount payable upon settlement of another Participant’s Performance Award that is intended to result in Performance-Based Compensation.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A- 25</w:t>
      </w:r>
    </w:p>
    <w:p>
      <w:pPr>
        <w:sectPr>
          <w:pgSz w:w="11900" w:h="16838" w:orient="portrait"/>
          <w:cols w:equalWidth="0" w:num="1">
            <w:col w:w="11260"/>
          </w:cols>
          <w:pgMar w:left="320" w:top="591" w:right="319" w:bottom="1440" w:gutter="0" w:footer="0" w:header="0"/>
        </w:sectPr>
      </w:pPr>
    </w:p>
    <w:bookmarkStart w:id="59" w:name="page60"/>
    <w:bookmarkEnd w:id="59"/>
    <w:p>
      <w:pPr>
        <w:ind w:right="100" w:firstLine="1953"/>
        <w:spacing w:after="0" w:line="265" w:lineRule="auto"/>
        <w:tabs>
          <w:tab w:leader="none" w:pos="2833" w:val="left"/>
        </w:tabs>
        <w:numPr>
          <w:ilvl w:val="0"/>
          <w:numId w:val="65"/>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Effect of Leaves of Absence. </w:t>
      </w:r>
      <w:r>
        <w:rPr>
          <w:rFonts w:ascii="Arial" w:cs="Arial" w:eastAsia="Arial" w:hAnsi="Arial"/>
          <w:sz w:val="21"/>
          <w:szCs w:val="21"/>
          <w:color w:val="auto"/>
        </w:rPr>
        <w:t>Unless otherwise required by law or a Participant’s Award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Agreement, payment of the final value, if any, of a Performance Award held by a Participant who has taken in excess of thirty (30) days in leaves of absence during a Performance Period shall be prorated on the basis of the number of days of the Participant’s Service during the Performance Period during which the Participant was not on a leave of absence.</w:t>
      </w:r>
    </w:p>
    <w:p>
      <w:pPr>
        <w:spacing w:after="0" w:line="216" w:lineRule="exact"/>
        <w:rPr>
          <w:rFonts w:ascii="Arial" w:cs="Arial" w:eastAsia="Arial" w:hAnsi="Arial"/>
          <w:sz w:val="21"/>
          <w:szCs w:val="21"/>
          <w:color w:val="auto"/>
        </w:rPr>
      </w:pPr>
    </w:p>
    <w:p>
      <w:pPr>
        <w:ind w:right="440" w:firstLine="1953"/>
        <w:spacing w:after="0" w:line="253" w:lineRule="auto"/>
        <w:tabs>
          <w:tab w:leader="none" w:pos="2845" w:val="left"/>
        </w:tabs>
        <w:numPr>
          <w:ilvl w:val="0"/>
          <w:numId w:val="6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Notice to Participants. </w:t>
      </w:r>
      <w:r>
        <w:rPr>
          <w:rFonts w:ascii="Arial" w:cs="Arial" w:eastAsia="Arial" w:hAnsi="Arial"/>
          <w:sz w:val="22"/>
          <w:szCs w:val="22"/>
          <w:color w:val="auto"/>
        </w:rPr>
        <w:t>As soon as practicable following the Committee’s determination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certification in accordance with Sections 10.5(a) and (b), the Company shall notify each Participant of the determination of the Committee.</w:t>
      </w:r>
    </w:p>
    <w:p>
      <w:pPr>
        <w:spacing w:after="0" w:line="226" w:lineRule="exact"/>
        <w:rPr>
          <w:rFonts w:ascii="Arial" w:cs="Arial" w:eastAsia="Arial" w:hAnsi="Arial"/>
          <w:sz w:val="22"/>
          <w:szCs w:val="22"/>
          <w:color w:val="auto"/>
        </w:rPr>
      </w:pPr>
    </w:p>
    <w:p>
      <w:pPr>
        <w:ind w:firstLine="1953"/>
        <w:spacing w:after="0" w:line="287" w:lineRule="auto"/>
        <w:tabs>
          <w:tab w:leader="none" w:pos="2833" w:val="left"/>
        </w:tabs>
        <w:numPr>
          <w:ilvl w:val="0"/>
          <w:numId w:val="6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Payment in Settlement of Performance Awards. </w:t>
      </w:r>
      <w:r>
        <w:rPr>
          <w:rFonts w:ascii="Arial" w:cs="Arial" w:eastAsia="Arial" w:hAnsi="Arial"/>
          <w:sz w:val="19"/>
          <w:szCs w:val="19"/>
          <w:color w:val="auto"/>
        </w:rPr>
        <w:t>Subject to the provisions of Section 16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respect to Section 409A, as soon as practicable following the Committee’s determination and certification in accordance with Sections 10.5(a) and (b), but in any event within the Short-Term Deferral Period described in Section 16.1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Unless otherwise provided in the Award Agreement evidencing a Performance Award, payment shall be made in a lump sum. If permitted by the Committee, and consistent with the requirements of Section 409A, the Participant may elect to defer receipt of all or any portion of the payment to be made to the Participant pursuant to this Section, and such deferred payment date(s) elected by the Participant shall be set forth in the Award Agreement. If any payment is to be made on a deferred basis, the Committee may, but shall not be obligated to, provide for the payment during the deferral period of Dividend Equivalents or interest.</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ind w:firstLine="1953"/>
        <w:spacing w:after="0" w:line="261" w:lineRule="auto"/>
        <w:tabs>
          <w:tab w:leader="none" w:pos="2809" w:val="left"/>
        </w:tabs>
        <w:numPr>
          <w:ilvl w:val="0"/>
          <w:numId w:val="65"/>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Provisions Applicable to Payment in Shares. </w:t>
      </w:r>
      <w:r>
        <w:rPr>
          <w:rFonts w:ascii="Arial" w:cs="Arial" w:eastAsia="Arial" w:hAnsi="Arial"/>
          <w:sz w:val="21"/>
          <w:szCs w:val="21"/>
          <w:color w:val="auto"/>
        </w:rPr>
        <w:t>If payment is to be made in shares of Stock,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number of 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215" w:lineRule="exact"/>
        <w:rPr>
          <w:sz w:val="20"/>
          <w:szCs w:val="20"/>
          <w:color w:val="auto"/>
        </w:rPr>
      </w:pPr>
    </w:p>
    <w:p>
      <w:pPr>
        <w:ind w:right="60" w:firstLine="1297"/>
        <w:spacing w:after="0" w:line="260" w:lineRule="auto"/>
        <w:rPr>
          <w:sz w:val="20"/>
          <w:szCs w:val="20"/>
          <w:color w:val="auto"/>
        </w:rPr>
      </w:pPr>
      <w:r>
        <w:rPr>
          <w:rFonts w:ascii="Arial" w:cs="Arial" w:eastAsia="Arial" w:hAnsi="Arial"/>
          <w:sz w:val="21"/>
          <w:szCs w:val="21"/>
          <w:color w:val="auto"/>
        </w:rPr>
        <w:t xml:space="preserve">10.6 </w:t>
      </w:r>
      <w:r>
        <w:rPr>
          <w:rFonts w:ascii="Arial" w:cs="Arial" w:eastAsia="Arial" w:hAnsi="Arial"/>
          <w:sz w:val="21"/>
          <w:szCs w:val="21"/>
          <w:b w:val="1"/>
          <w:bCs w:val="1"/>
          <w:color w:val="auto"/>
        </w:rPr>
        <w:t>Voting Rights; Dividend Equivalent Rights and Distributions.</w:t>
      </w:r>
      <w:r>
        <w:rPr>
          <w:rFonts w:ascii="Arial" w:cs="Arial" w:eastAsia="Arial" w:hAnsi="Arial"/>
          <w:sz w:val="21"/>
          <w:szCs w:val="21"/>
          <w:color w:val="auto"/>
        </w:rPr>
        <w:t xml:space="preserve">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receive Dividend Equivalents with respect to the payment of cash dividends on Stock during the period beginning on the date the Award is granted and ending, with respect to the particular shares subject to the Award, on the earlier of the date on which the Performance Shares are settled or the date on which they are forfeited. Such Dividend Equivalents, if any, shall be credited to the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A- 26</w:t>
      </w:r>
    </w:p>
    <w:p>
      <w:pPr>
        <w:sectPr>
          <w:pgSz w:w="11900" w:h="16838" w:orient="portrait"/>
          <w:cols w:equalWidth="0" w:num="1">
            <w:col w:w="11400"/>
          </w:cols>
          <w:pgMar w:left="240" w:top="591" w:right="259" w:bottom="1440" w:gutter="0" w:footer="0" w:header="0"/>
        </w:sectPr>
      </w:pPr>
    </w:p>
    <w:bookmarkStart w:id="60" w:name="page61"/>
    <w:bookmarkEnd w:id="60"/>
    <w:p>
      <w:pPr>
        <w:ind w:right="260"/>
        <w:spacing w:after="0" w:line="286" w:lineRule="auto"/>
        <w:rPr>
          <w:sz w:val="20"/>
          <w:szCs w:val="20"/>
          <w:color w:val="auto"/>
        </w:rPr>
      </w:pPr>
      <w:r>
        <w:rPr>
          <w:rFonts w:ascii="Arial" w:cs="Arial" w:eastAsia="Arial" w:hAnsi="Arial"/>
          <w:sz w:val="19"/>
          <w:szCs w:val="19"/>
          <w:color w:val="auto"/>
        </w:rPr>
        <w:t>Participant in the form of additional whole Performance Shares as of the date of payment of such cash dividends on Stock. The number of additional Performance Shares (rounded down to the nearest whole number)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Equivalents may be paid currently or may be accumulated and paid to the extent that Performance Shares become nonforfeitable, as determined by the Committee. Settlement of Dividend Equivalents may be made in cash, shares of Stock, or a combination thereof as determined by the Committee, and may be paid on the same basis as settlement of the related Performance Share as provided in Section 10.5. Dividend Equivalents shall not be paid with respect to Performance Units. In the event of a dividend or distribution paid in shares of Stock or other property or any other adjustment made upon a change in the capital structure of the Company as described in Section 4.4, appropriate adjustments shall be made in the Participant’s Performance Share Award so that it represents the right to receive upon settlement any and all new, substituted or additional securities or other property (other than normal cash dividends) to which the Participant would entitled by reason of the shares of Stock issuable upon settlement of the Performance Share Award, and all such new, substituted or additional securities or other property shall be immediately subject to the same Performance Goals as are applicable to the Award.</w:t>
      </w:r>
    </w:p>
    <w:p>
      <w:pPr>
        <w:spacing w:after="0" w:line="198" w:lineRule="exact"/>
        <w:rPr>
          <w:sz w:val="20"/>
          <w:szCs w:val="20"/>
          <w:color w:val="auto"/>
        </w:rPr>
      </w:pPr>
    </w:p>
    <w:p>
      <w:pPr>
        <w:ind w:firstLine="1297"/>
        <w:spacing w:after="0" w:line="256"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b w:val="1"/>
          <w:bCs w:val="1"/>
          <w:color w:val="auto"/>
        </w:rPr>
        <w:t>Effect of Termination of Service.</w:t>
      </w:r>
      <w:r>
        <w:rPr>
          <w:rFonts w:ascii="Arial" w:cs="Arial" w:eastAsia="Arial" w:hAnsi="Arial"/>
          <w:sz w:val="22"/>
          <w:szCs w:val="22"/>
          <w:color w:val="auto"/>
        </w:rPr>
        <w:t xml:space="preserve"> Unless otherwise provided by the Committee and set forth in the Award Agreement evidencing a Performance Award, the effect of a Participant’s termination of Service on the Performance Award shall be as follows:</w:t>
      </w:r>
    </w:p>
    <w:p>
      <w:pPr>
        <w:spacing w:after="0" w:line="223" w:lineRule="exact"/>
        <w:rPr>
          <w:sz w:val="20"/>
          <w:szCs w:val="20"/>
          <w:color w:val="auto"/>
        </w:rPr>
      </w:pPr>
    </w:p>
    <w:p>
      <w:pPr>
        <w:ind w:firstLine="1953"/>
        <w:spacing w:after="0" w:line="247" w:lineRule="auto"/>
        <w:tabs>
          <w:tab w:leader="none" w:pos="2833" w:val="left"/>
        </w:tabs>
        <w:numPr>
          <w:ilvl w:val="0"/>
          <w:numId w:val="6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Death or Disability. </w:t>
      </w:r>
      <w:r>
        <w:rPr>
          <w:rFonts w:ascii="Arial" w:cs="Arial" w:eastAsia="Arial" w:hAnsi="Arial"/>
          <w:sz w:val="22"/>
          <w:szCs w:val="22"/>
          <w:color w:val="auto"/>
        </w:rPr>
        <w:t>If the Participant’s Service terminates because of the death or Disability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Participant 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234" w:lineRule="exact"/>
        <w:rPr>
          <w:rFonts w:ascii="Arial" w:cs="Arial" w:eastAsia="Arial" w:hAnsi="Arial"/>
          <w:sz w:val="22"/>
          <w:szCs w:val="22"/>
          <w:color w:val="auto"/>
        </w:rPr>
      </w:pPr>
    </w:p>
    <w:p>
      <w:pPr>
        <w:ind w:firstLine="1953"/>
        <w:spacing w:after="0" w:line="302" w:lineRule="auto"/>
        <w:tabs>
          <w:tab w:leader="none" w:pos="2845" w:val="left"/>
        </w:tabs>
        <w:numPr>
          <w:ilvl w:val="0"/>
          <w:numId w:val="6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Other Termination of Service. </w:t>
      </w:r>
      <w:r>
        <w:rPr>
          <w:rFonts w:ascii="Arial" w:cs="Arial" w:eastAsia="Arial" w:hAnsi="Arial"/>
          <w:sz w:val="19"/>
          <w:szCs w:val="19"/>
          <w:color w:val="auto"/>
        </w:rPr>
        <w:t>If the Participant’s Service terminates for any reason except death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Disability before the completion of the Performance Period applicable to the Performance Award, such Award shall be forfeited in its entirety; provided, however, that in the event of an involuntary termination of the Participant’s Service, the Committee, in its sole discretion, may waive the automatic forfeiture of all or any portion of any such Award and provide for payment of such Award.</w:t>
      </w:r>
    </w:p>
    <w:p>
      <w:pPr>
        <w:spacing w:after="0" w:line="177" w:lineRule="exact"/>
        <w:rPr>
          <w:sz w:val="20"/>
          <w:szCs w:val="20"/>
          <w:color w:val="auto"/>
        </w:rPr>
      </w:pPr>
    </w:p>
    <w:p>
      <w:pPr>
        <w:ind w:right="20" w:firstLine="1297"/>
        <w:spacing w:after="0" w:line="298"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b w:val="1"/>
          <w:bCs w:val="1"/>
          <w:color w:val="auto"/>
        </w:rPr>
        <w:t>Nontransferability of Performance Awards.</w:t>
      </w:r>
      <w:r>
        <w:rPr>
          <w:rFonts w:ascii="Arial" w:cs="Arial" w:eastAsia="Arial" w:hAnsi="Arial"/>
          <w:sz w:val="19"/>
          <w:szCs w:val="19"/>
          <w:color w:val="auto"/>
        </w:rPr>
        <w:t xml:space="preserve">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A- 27</w:t>
      </w:r>
    </w:p>
    <w:p>
      <w:pPr>
        <w:sectPr>
          <w:pgSz w:w="11900" w:h="16838" w:orient="portrait"/>
          <w:cols w:equalWidth="0" w:num="1">
            <w:col w:w="11400"/>
          </w:cols>
          <w:pgMar w:left="240" w:top="591" w:right="259" w:bottom="1440" w:gutter="0" w:footer="0" w:header="0"/>
        </w:sectPr>
      </w:pPr>
    </w:p>
    <w:bookmarkStart w:id="61" w:name="page62"/>
    <w:bookmarkEnd w:id="61"/>
    <w:p>
      <w:pPr>
        <w:ind w:left="1140" w:hanging="484"/>
        <w:spacing w:after="0"/>
        <w:tabs>
          <w:tab w:leader="none" w:pos="1140" w:val="left"/>
        </w:tabs>
        <w:numPr>
          <w:ilvl w:val="0"/>
          <w:numId w:val="67"/>
        </w:numPr>
        <w:rPr>
          <w:rFonts w:ascii="Arial" w:cs="Arial" w:eastAsia="Arial" w:hAnsi="Arial"/>
          <w:sz w:val="22"/>
          <w:szCs w:val="22"/>
          <w:color w:val="auto"/>
        </w:rPr>
      </w:pPr>
      <w:r>
        <w:rPr>
          <w:rFonts w:ascii="Arial" w:cs="Arial" w:eastAsia="Arial" w:hAnsi="Arial"/>
          <w:sz w:val="22"/>
          <w:szCs w:val="22"/>
          <w:b w:val="1"/>
          <w:bCs w:val="1"/>
          <w:u w:val="single" w:color="auto"/>
          <w:color w:val="auto"/>
        </w:rPr>
        <w:t>STANDARD FORMS OF AWARD AGREEMENT</w:t>
      </w:r>
      <w:r>
        <w:rPr>
          <w:rFonts w:ascii="Arial" w:cs="Arial" w:eastAsia="Arial" w:hAnsi="Arial"/>
          <w:sz w:val="22"/>
          <w:szCs w:val="22"/>
          <w:b w:val="1"/>
          <w:bCs w:val="1"/>
          <w:color w:val="auto"/>
        </w:rPr>
        <w:t>.</w:t>
      </w:r>
    </w:p>
    <w:p>
      <w:pPr>
        <w:spacing w:after="0" w:line="260" w:lineRule="exact"/>
        <w:rPr>
          <w:sz w:val="20"/>
          <w:szCs w:val="20"/>
          <w:color w:val="auto"/>
        </w:rPr>
      </w:pPr>
    </w:p>
    <w:p>
      <w:pPr>
        <w:ind w:right="180" w:firstLine="1297"/>
        <w:spacing w:after="0" w:line="267"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b w:val="1"/>
          <w:bCs w:val="1"/>
          <w:color w:val="auto"/>
        </w:rPr>
        <w:t>Award Agreements</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Each Award shall comply with and be subject to the terms and conditions set forth in the appropriate form of Award Agreement approved by the Committee and as amended from time to time. Any Award Agreement may consist of an appropriate form of Notice of Grant and a form of Agreement incorporated therein by reference, or such other form or forms, including electronic media, as the Committee may approve from time to time.</w:t>
      </w:r>
    </w:p>
    <w:p>
      <w:pPr>
        <w:spacing w:after="0" w:line="208" w:lineRule="exact"/>
        <w:rPr>
          <w:sz w:val="20"/>
          <w:szCs w:val="20"/>
          <w:color w:val="auto"/>
        </w:rPr>
      </w:pPr>
    </w:p>
    <w:p>
      <w:pPr>
        <w:ind w:right="20" w:firstLine="1297"/>
        <w:spacing w:after="0" w:line="267"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b w:val="1"/>
          <w:bCs w:val="1"/>
          <w:color w:val="auto"/>
        </w:rPr>
        <w:t>Authority to Vary Terms</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208" w:lineRule="exact"/>
        <w:rPr>
          <w:sz w:val="20"/>
          <w:szCs w:val="20"/>
          <w:color w:val="auto"/>
        </w:rPr>
      </w:pPr>
    </w:p>
    <w:p>
      <w:pPr>
        <w:ind w:left="1140" w:hanging="484"/>
        <w:spacing w:after="0"/>
        <w:tabs>
          <w:tab w:leader="none" w:pos="1140" w:val="left"/>
        </w:tabs>
        <w:numPr>
          <w:ilvl w:val="0"/>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CHANGE IN CONTROL ON AWARDS</w:t>
      </w:r>
      <w:r>
        <w:rPr>
          <w:rFonts w:ascii="Arial" w:cs="Arial" w:eastAsia="Arial" w:hAnsi="Arial"/>
          <w:sz w:val="22"/>
          <w:szCs w:val="22"/>
          <w:b w:val="1"/>
          <w:bCs w:val="1"/>
          <w:color w:val="auto"/>
        </w:rPr>
        <w:t>.</w:t>
      </w:r>
    </w:p>
    <w:p>
      <w:pPr>
        <w:spacing w:after="0" w:line="266"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Subject to the requirements and limitations of Section 409A if applicable, the Committee may provide for any one or more of the following:</w:t>
      </w:r>
    </w:p>
    <w:p>
      <w:pPr>
        <w:spacing w:after="0" w:line="209" w:lineRule="exact"/>
        <w:rPr>
          <w:sz w:val="20"/>
          <w:szCs w:val="20"/>
          <w:color w:val="auto"/>
        </w:rPr>
      </w:pPr>
    </w:p>
    <w:p>
      <w:pPr>
        <w:ind w:right="140" w:firstLine="1297"/>
        <w:spacing w:after="0" w:line="264"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b w:val="1"/>
          <w:bCs w:val="1"/>
          <w:color w:val="auto"/>
        </w:rPr>
        <w:t>Accelerated Vesting</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The Committee may, in its discretion, provide in any Award Agreement or, in the event of a Change in Control, may take such actions as it deems appropriate to provide for the acceleration of the exercisability, vesting and/or settlement in connection with such Change in Control of each or any outstanding Award or portion thereof and shares acquired pursuant thereto upon such conditions, including termination of the Participant’s Service prior to, upon, or following such Change in Control, to such extent as the Committee shall determine.</w:t>
      </w:r>
    </w:p>
    <w:p>
      <w:pPr>
        <w:spacing w:after="0" w:line="211" w:lineRule="exact"/>
        <w:rPr>
          <w:sz w:val="20"/>
          <w:szCs w:val="20"/>
          <w:color w:val="auto"/>
        </w:rPr>
      </w:pPr>
    </w:p>
    <w:p>
      <w:pPr>
        <w:ind w:right="20" w:firstLine="1297"/>
        <w:spacing w:after="0" w:line="287"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b w:val="1"/>
          <w:bCs w:val="1"/>
          <w:color w:val="auto"/>
        </w:rPr>
        <w:t>Assumption, Continuation or Substitution</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In the event of a Change in Control, the surviving, continuing, successor, or purchasing corporation or other business entity or parent thereof, as the case may be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Acquiror</w:t>
      </w:r>
      <w:r>
        <w:rPr>
          <w:rFonts w:ascii="Arial" w:cs="Arial" w:eastAsia="Arial" w:hAnsi="Arial"/>
          <w:sz w:val="19"/>
          <w:szCs w:val="19"/>
          <w:i w:val="1"/>
          <w:iCs w:val="1"/>
          <w:color w:val="auto"/>
        </w:rPr>
        <w:t>”</w:t>
      </w:r>
      <w:r>
        <w:rPr>
          <w:rFonts w:ascii="Arial" w:cs="Arial" w:eastAsia="Arial" w:hAnsi="Arial"/>
          <w:sz w:val="19"/>
          <w:szCs w:val="19"/>
          <w:color w:val="auto"/>
        </w:rPr>
        <w:t>), may, without the consent of any Participant,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provided, however, that if such consideration is not solely common stock of the Acquiror, the Committee may, with the consent of the Acquiror,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A- 28</w:t>
      </w:r>
    </w:p>
    <w:p>
      <w:pPr>
        <w:sectPr>
          <w:pgSz w:w="11900" w:h="16838" w:orient="portrait"/>
          <w:cols w:equalWidth="0" w:num="1">
            <w:col w:w="11420"/>
          </w:cols>
          <w:pgMar w:left="240" w:top="585" w:right="239" w:bottom="1440" w:gutter="0" w:footer="0" w:header="0"/>
        </w:sectPr>
      </w:pPr>
    </w:p>
    <w:bookmarkStart w:id="62" w:name="page63"/>
    <w:bookmarkEnd w:id="62"/>
    <w:p>
      <w:pPr>
        <w:ind w:right="640"/>
        <w:spacing w:after="0" w:line="263" w:lineRule="auto"/>
        <w:rPr>
          <w:sz w:val="20"/>
          <w:szCs w:val="20"/>
          <w:color w:val="auto"/>
        </w:rPr>
      </w:pPr>
      <w:r>
        <w:rPr>
          <w:rFonts w:ascii="Arial" w:cs="Arial" w:eastAsia="Arial" w:hAnsi="Arial"/>
          <w:sz w:val="22"/>
          <w:szCs w:val="22"/>
          <w:color w:val="auto"/>
        </w:rPr>
        <w:t>nor exercised or settled as of the time of consummation of the Change in Control shall terminate and cease to be outstanding effective as of the time of consummation of the Change in Control.</w:t>
      </w:r>
    </w:p>
    <w:p>
      <w:pPr>
        <w:spacing w:after="0" w:line="209"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b w:val="1"/>
          <w:bCs w:val="1"/>
          <w:color w:val="auto"/>
        </w:rPr>
        <w:t>Cash-Out of Outstanding Stock-Based Awards</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 Committee may, in its discretion and without the consent of any Participant,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by the exercise or purchase price per share, if any, under such Award. In the event such determination is made by the Committee, the amount of such payment (reduced by applicable withholding taxes, if any) shall be paid to Participants in respect of the vested portions of their canceled Awards as soon as practicable following the date of the Change in Control and in respect of the unvested portions of their canceled Awards in accordance with the vesting schedules applicable to such Awards.</w:t>
      </w:r>
    </w:p>
    <w:p>
      <w:pPr>
        <w:spacing w:after="0" w:line="195"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SECURITIES LAWS</w:t>
      </w:r>
      <w:r>
        <w:rPr>
          <w:rFonts w:ascii="Arial" w:cs="Arial" w:eastAsia="Arial" w:hAnsi="Arial"/>
          <w:sz w:val="22"/>
          <w:szCs w:val="22"/>
          <w:b w:val="1"/>
          <w:bCs w:val="1"/>
          <w:color w:val="auto"/>
        </w:rPr>
        <w:t>.</w:t>
      </w:r>
    </w:p>
    <w:p>
      <w:pPr>
        <w:spacing w:after="0" w:line="266" w:lineRule="exact"/>
        <w:rPr>
          <w:sz w:val="20"/>
          <w:szCs w:val="20"/>
          <w:color w:val="auto"/>
        </w:rPr>
      </w:pPr>
    </w:p>
    <w:p>
      <w:pPr>
        <w:ind w:right="80" w:firstLine="1297"/>
        <w:spacing w:after="0" w:line="287" w:lineRule="auto"/>
        <w:rPr>
          <w:sz w:val="20"/>
          <w:szCs w:val="20"/>
          <w:color w:val="auto"/>
        </w:rPr>
      </w:pPr>
      <w:r>
        <w:rPr>
          <w:rFonts w:ascii="Arial" w:cs="Arial" w:eastAsia="Arial" w:hAnsi="Arial"/>
          <w:sz w:val="19"/>
          <w:szCs w:val="19"/>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hereunder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54" w:lineRule="exact"/>
        <w:rPr>
          <w:sz w:val="20"/>
          <w:szCs w:val="20"/>
          <w:color w:val="auto"/>
        </w:rPr>
      </w:pPr>
    </w:p>
    <w:p>
      <w:pPr>
        <w:ind w:left="1140" w:hanging="484"/>
        <w:spacing w:after="0"/>
        <w:tabs>
          <w:tab w:leader="none" w:pos="1140" w:val="left"/>
        </w:tabs>
        <w:numPr>
          <w:ilvl w:val="0"/>
          <w:numId w:val="70"/>
        </w:numPr>
        <w:rPr>
          <w:rFonts w:ascii="Arial" w:cs="Arial" w:eastAsia="Arial" w:hAnsi="Arial"/>
          <w:sz w:val="22"/>
          <w:szCs w:val="22"/>
          <w:color w:val="auto"/>
        </w:rPr>
      </w:pPr>
      <w:r>
        <w:rPr>
          <w:rFonts w:ascii="Arial" w:cs="Arial" w:eastAsia="Arial" w:hAnsi="Arial"/>
          <w:sz w:val="22"/>
          <w:szCs w:val="22"/>
          <w:b w:val="1"/>
          <w:bCs w:val="1"/>
          <w:u w:val="single" w:color="auto"/>
          <w:color w:val="auto"/>
        </w:rPr>
        <w:t>TAX WITHHOLDING</w:t>
      </w:r>
      <w:r>
        <w:rPr>
          <w:rFonts w:ascii="Arial" w:cs="Arial" w:eastAsia="Arial" w:hAnsi="Arial"/>
          <w:sz w:val="22"/>
          <w:szCs w:val="22"/>
          <w:b w:val="1"/>
          <w:bCs w:val="1"/>
          <w:color w:val="auto"/>
        </w:rPr>
        <w:t>.</w:t>
      </w:r>
    </w:p>
    <w:p>
      <w:pPr>
        <w:spacing w:after="0" w:line="260" w:lineRule="exact"/>
        <w:rPr>
          <w:sz w:val="20"/>
          <w:szCs w:val="20"/>
          <w:color w:val="auto"/>
        </w:rPr>
      </w:pPr>
    </w:p>
    <w:p>
      <w:pPr>
        <w:ind w:right="140" w:firstLine="1297"/>
        <w:spacing w:after="0" w:line="298"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b w:val="1"/>
          <w:bCs w:val="1"/>
          <w:color w:val="auto"/>
        </w:rPr>
        <w:t>Tax Withholding in General.</w:t>
      </w:r>
      <w:r>
        <w:rPr>
          <w:rFonts w:ascii="Arial" w:cs="Arial" w:eastAsia="Arial" w:hAnsi="Arial"/>
          <w:sz w:val="19"/>
          <w:szCs w:val="19"/>
          <w:color w:val="auto"/>
        </w:rPr>
        <w:t xml:space="preserve"> The Company shall have the right to deduct from any and all payments made under the Plan, or to require the Participant, through payroll withholding, cash payment or otherwise, to make adequate provision for, the federal, state, local and foreign taxes, if any, required by law to be withheld by the Participating Company Group with respect to an Award or the shares acquired pursuant thereto. The Company shall have no obligation to deliver shares of Stock, to release shares of Stock from an escrow established pursuant to an Award Agreement, or to make any payment in cash under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A- 29</w:t>
      </w:r>
    </w:p>
    <w:p>
      <w:pPr>
        <w:sectPr>
          <w:pgSz w:w="11900" w:h="16838" w:orient="portrait"/>
          <w:cols w:equalWidth="0" w:num="1">
            <w:col w:w="11400"/>
          </w:cols>
          <w:pgMar w:left="240" w:top="591" w:right="25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Plan until the Participating Company Group’s tax withholding obligations have been satisfied by the Participant.</w:t>
      </w:r>
    </w:p>
    <w:p>
      <w:pPr>
        <w:spacing w:after="0" w:line="254" w:lineRule="exact"/>
        <w:rPr>
          <w:sz w:val="20"/>
          <w:szCs w:val="20"/>
          <w:color w:val="auto"/>
        </w:rPr>
      </w:pPr>
    </w:p>
    <w:p>
      <w:pPr>
        <w:ind w:right="40" w:firstLine="1297"/>
        <w:spacing w:after="0" w:line="248"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b w:val="1"/>
          <w:bCs w:val="1"/>
          <w:color w:val="auto"/>
        </w:rPr>
        <w:t>Withholding in Shares.</w:t>
      </w:r>
      <w:r>
        <w:rPr>
          <w:rFonts w:ascii="Arial" w:cs="Arial" w:eastAsia="Arial" w:hAnsi="Arial"/>
          <w:sz w:val="22"/>
          <w:szCs w:val="22"/>
          <w:color w:val="auto"/>
        </w:rPr>
        <w:t xml:space="preserve">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the Participating Company Group. The Fair Market Value of any shares of Stock withheld or tendered to satisfy any such tax withholding obligations shall not exceed the amount determined by the applicable maximum statutory withholding rates.</w:t>
      </w:r>
    </w:p>
    <w:p>
      <w:pPr>
        <w:spacing w:after="0" w:line="228" w:lineRule="exact"/>
        <w:rPr>
          <w:sz w:val="20"/>
          <w:szCs w:val="20"/>
          <w:color w:val="auto"/>
        </w:rPr>
      </w:pPr>
    </w:p>
    <w:p>
      <w:pPr>
        <w:ind w:left="1140" w:hanging="484"/>
        <w:spacing w:after="0"/>
        <w:tabs>
          <w:tab w:leader="none" w:pos="1140" w:val="left"/>
        </w:tabs>
        <w:numPr>
          <w:ilvl w:val="0"/>
          <w:numId w:val="71"/>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OR TERMINATION OF PLAN</w:t>
      </w:r>
      <w:r>
        <w:rPr>
          <w:rFonts w:ascii="Arial" w:cs="Arial" w:eastAsia="Arial" w:hAnsi="Arial"/>
          <w:sz w:val="22"/>
          <w:szCs w:val="22"/>
          <w:b w:val="1"/>
          <w:bCs w:val="1"/>
          <w:color w:val="auto"/>
        </w:rPr>
        <w:t>.</w:t>
      </w:r>
    </w:p>
    <w:p>
      <w:pPr>
        <w:spacing w:after="0" w:line="266" w:lineRule="exact"/>
        <w:rPr>
          <w:sz w:val="20"/>
          <w:szCs w:val="20"/>
          <w:color w:val="auto"/>
        </w:rPr>
      </w:pPr>
    </w:p>
    <w:p>
      <w:pPr>
        <w:ind w:right="60" w:firstLine="1297"/>
        <w:spacing w:after="0" w:line="287" w:lineRule="auto"/>
        <w:rPr>
          <w:sz w:val="20"/>
          <w:szCs w:val="20"/>
          <w:color w:val="auto"/>
        </w:rPr>
      </w:pPr>
      <w:r>
        <w:rPr>
          <w:rFonts w:ascii="Arial" w:cs="Arial" w:eastAsia="Arial" w:hAnsi="Arial"/>
          <w:sz w:val="19"/>
          <w:szCs w:val="19"/>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 4.4), (b) no change in the class of persons eligible to receive Incentive Stock Options, and (c) no other amendment of the Plan that would require approval of the Company’s stockholders under any applicable law, regulation or rule, including the rules of any stock exchange or market system upon which the Stock may then be listed. No amendment, suspension or termination of the Plan shall affect any then outstanding Award unless expressly provided by the Committee. Except as provided by the next sentence, no amendment, suspension or termination of the Plan may adversely affect any then outstanding Award without the consent of the Participant. Notwithstanding any other provision of the Plan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200" w:lineRule="exact"/>
        <w:rPr>
          <w:sz w:val="20"/>
          <w:szCs w:val="20"/>
          <w:color w:val="auto"/>
        </w:rPr>
      </w:pPr>
    </w:p>
    <w:p>
      <w:pPr>
        <w:spacing w:after="0" w:line="215" w:lineRule="exact"/>
        <w:rPr>
          <w:sz w:val="20"/>
          <w:szCs w:val="20"/>
          <w:color w:val="auto"/>
        </w:rPr>
      </w:pPr>
    </w:p>
    <w:p>
      <w:pPr>
        <w:ind w:left="1140" w:hanging="484"/>
        <w:spacing w:after="0"/>
        <w:tabs>
          <w:tab w:leader="none" w:pos="1140" w:val="left"/>
        </w:tabs>
        <w:numPr>
          <w:ilvl w:val="0"/>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SECTION 409A</w:t>
      </w:r>
      <w:r>
        <w:rPr>
          <w:rFonts w:ascii="Arial" w:cs="Arial" w:eastAsia="Arial" w:hAnsi="Arial"/>
          <w:sz w:val="22"/>
          <w:szCs w:val="22"/>
          <w:b w:val="1"/>
          <w:bCs w:val="1"/>
          <w:color w:val="auto"/>
        </w:rPr>
        <w:t>.</w:t>
      </w:r>
    </w:p>
    <w:p>
      <w:pPr>
        <w:spacing w:after="0" w:line="260" w:lineRule="exact"/>
        <w:rPr>
          <w:sz w:val="20"/>
          <w:szCs w:val="20"/>
          <w:color w:val="auto"/>
        </w:rPr>
      </w:pPr>
    </w:p>
    <w:p>
      <w:pPr>
        <w:ind w:right="60" w:firstLine="1297"/>
        <w:spacing w:after="0" w:line="274" w:lineRule="auto"/>
        <w:rPr>
          <w:sz w:val="20"/>
          <w:szCs w:val="20"/>
          <w:color w:val="auto"/>
        </w:rPr>
      </w:pPr>
      <w:r>
        <w:rPr>
          <w:rFonts w:ascii="Arial" w:cs="Arial" w:eastAsia="Arial" w:hAnsi="Arial"/>
          <w:sz w:val="21"/>
          <w:szCs w:val="21"/>
          <w:color w:val="auto"/>
        </w:rPr>
        <w:t xml:space="preserve">16.1 </w:t>
      </w:r>
      <w:r>
        <w:rPr>
          <w:rFonts w:ascii="Arial" w:cs="Arial" w:eastAsia="Arial" w:hAnsi="Arial"/>
          <w:sz w:val="21"/>
          <w:szCs w:val="21"/>
          <w:b w:val="1"/>
          <w:bCs w:val="1"/>
          <w:color w:val="auto"/>
        </w:rPr>
        <w:t>Awards Subject to Section 409A.</w:t>
      </w:r>
      <w:r>
        <w:rPr>
          <w:rFonts w:ascii="Arial" w:cs="Arial" w:eastAsia="Arial" w:hAnsi="Arial"/>
          <w:sz w:val="21"/>
          <w:szCs w:val="21"/>
          <w:color w:val="auto"/>
        </w:rPr>
        <w:t xml:space="preserve"> The provisions of this Section 16 shall apply to any Award or portion thereof that is or becomes subject to Section 409A, notwithstanding any provision to the contrary contained in the Plan or the Award Agreement applicable to such Award. Awards subject to Section 409A include, without limitation:</w:t>
      </w:r>
    </w:p>
    <w:p>
      <w:pPr>
        <w:spacing w:after="0" w:line="205" w:lineRule="exact"/>
        <w:rPr>
          <w:sz w:val="20"/>
          <w:szCs w:val="20"/>
          <w:color w:val="auto"/>
        </w:rPr>
      </w:pPr>
    </w:p>
    <w:p>
      <w:pPr>
        <w:ind w:firstLine="1953"/>
        <w:spacing w:after="0" w:line="263" w:lineRule="auto"/>
        <w:tabs>
          <w:tab w:leader="none" w:pos="2833" w:val="left"/>
        </w:tabs>
        <w:numPr>
          <w:ilvl w:val="0"/>
          <w:numId w:val="73"/>
        </w:numPr>
        <w:rPr>
          <w:rFonts w:ascii="Arial" w:cs="Arial" w:eastAsia="Arial" w:hAnsi="Arial"/>
          <w:sz w:val="22"/>
          <w:szCs w:val="22"/>
          <w:color w:val="auto"/>
        </w:rPr>
      </w:pPr>
      <w:r>
        <w:rPr>
          <w:rFonts w:ascii="Arial" w:cs="Arial" w:eastAsia="Arial" w:hAnsi="Arial"/>
          <w:sz w:val="22"/>
          <w:szCs w:val="22"/>
          <w:color w:val="auto"/>
        </w:rPr>
        <w:t>Any Nonstatutory Stock Option that permits the deferral of compensation other than the deferral of recognition of income until the exercise of the Award.</w:t>
      </w:r>
    </w:p>
    <w:p>
      <w:pPr>
        <w:spacing w:after="0" w:line="215" w:lineRule="exact"/>
        <w:rPr>
          <w:rFonts w:ascii="Arial" w:cs="Arial" w:eastAsia="Arial" w:hAnsi="Arial"/>
          <w:sz w:val="22"/>
          <w:szCs w:val="22"/>
          <w:color w:val="auto"/>
        </w:rPr>
      </w:pPr>
    </w:p>
    <w:p>
      <w:pPr>
        <w:jc w:val="both"/>
        <w:ind w:right="200" w:firstLine="1953"/>
        <w:spacing w:after="0" w:line="312" w:lineRule="auto"/>
        <w:tabs>
          <w:tab w:leader="none" w:pos="2845" w:val="left"/>
        </w:tabs>
        <w:numPr>
          <w:ilvl w:val="0"/>
          <w:numId w:val="73"/>
        </w:numPr>
        <w:rPr>
          <w:rFonts w:ascii="Arial" w:cs="Arial" w:eastAsia="Arial" w:hAnsi="Arial"/>
          <w:sz w:val="19"/>
          <w:szCs w:val="19"/>
          <w:color w:val="auto"/>
        </w:rPr>
      </w:pPr>
      <w:r>
        <w:rPr>
          <w:rFonts w:ascii="Arial" w:cs="Arial" w:eastAsia="Arial" w:hAnsi="Arial"/>
          <w:sz w:val="19"/>
          <w:szCs w:val="19"/>
          <w:color w:val="auto"/>
        </w:rPr>
        <w:t>Any Restricted Stock Unit Award or Performance Award that either (i) the Award provides by its terms for settlement of all or any portion of the Award on one or more dates following the Short-Term Deferral Period (as defined below) or (ii) the Committee permits or requires the Participant to elect one or more dates on which the Award will be settled.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A- 30</w:t>
      </w:r>
    </w:p>
    <w:p>
      <w:pPr>
        <w:sectPr>
          <w:pgSz w:w="11900" w:h="16838" w:orient="portrait"/>
          <w:cols w:equalWidth="0" w:num="1">
            <w:col w:w="11420"/>
          </w:cols>
          <w:pgMar w:left="240" w:top="591" w:right="239" w:bottom="1440" w:gutter="0" w:footer="0" w:header="0"/>
        </w:sectPr>
      </w:pPr>
    </w:p>
    <w:bookmarkStart w:id="64" w:name="page65"/>
    <w:bookmarkEnd w:id="64"/>
    <w:p>
      <w:pPr>
        <w:spacing w:after="0" w:line="261" w:lineRule="auto"/>
        <w:rPr>
          <w:sz w:val="20"/>
          <w:szCs w:val="20"/>
          <w:color w:val="auto"/>
        </w:rPr>
      </w:pPr>
      <w:r>
        <w:rPr>
          <w:rFonts w:ascii="Arial" w:cs="Arial" w:eastAsia="Arial" w:hAnsi="Arial"/>
          <w:sz w:val="19"/>
          <w:szCs w:val="19"/>
          <w:color w:val="auto"/>
        </w:rPr>
        <w:t>Subject to any applicable U.S. Treasury Regulations promulgated pursuant to Section 409A or other applicable guidance, the term “</w:t>
      </w:r>
      <w:r>
        <w:rPr>
          <w:rFonts w:ascii="Arial" w:cs="Arial" w:eastAsia="Arial" w:hAnsi="Arial"/>
          <w:sz w:val="19"/>
          <w:szCs w:val="19"/>
          <w:b w:val="1"/>
          <w:bCs w:val="1"/>
          <w:i w:val="1"/>
          <w:iCs w:val="1"/>
          <w:color w:val="auto"/>
        </w:rPr>
        <w:t>Short-Term Deferral Period</w:t>
      </w:r>
      <w:r>
        <w:rPr>
          <w:rFonts w:ascii="Arial" w:cs="Arial" w:eastAsia="Arial" w:hAnsi="Arial"/>
          <w:sz w:val="19"/>
          <w:szCs w:val="19"/>
          <w:i w:val="1"/>
          <w:iCs w:val="1"/>
          <w:color w:val="auto"/>
        </w:rPr>
        <w:t>”</w:t>
      </w:r>
      <w:r>
        <w:rPr>
          <w:rFonts w:ascii="Arial" w:cs="Arial" w:eastAsia="Arial" w:hAnsi="Arial"/>
          <w:sz w:val="19"/>
          <w:szCs w:val="19"/>
          <w:color w:val="auto"/>
        </w:rPr>
        <w:t xml:space="preserve"> means the period ending on the later of (i)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the third month following the end of the Company’s fiscal year in which the applicable portion of the Award is no longer subject to a substantial risk of forfeiture or (ii)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the third month following the end of the Participant’s taxable year in which the applicable portion of the Award is no longer subject to a substantial risk of forfeiture. For this purpose, the term “substantial risk of forfeiture” shall have the meaning set forth in any applicable U.S. Treasury Regulations promulgated pursuant to Section 409A or other applicable guidance.</w:t>
      </w:r>
    </w:p>
    <w:p>
      <w:pPr>
        <w:spacing w:after="0" w:line="174" w:lineRule="exact"/>
        <w:rPr>
          <w:sz w:val="20"/>
          <w:szCs w:val="20"/>
          <w:color w:val="auto"/>
        </w:rPr>
      </w:pPr>
    </w:p>
    <w:p>
      <w:pPr>
        <w:ind w:right="60" w:firstLine="1297"/>
        <w:spacing w:after="0" w:line="252" w:lineRule="auto"/>
        <w:rPr>
          <w:sz w:val="20"/>
          <w:szCs w:val="20"/>
          <w:color w:val="auto"/>
        </w:rPr>
      </w:pPr>
      <w:r>
        <w:rPr>
          <w:rFonts w:ascii="Arial" w:cs="Arial" w:eastAsia="Arial" w:hAnsi="Arial"/>
          <w:sz w:val="22"/>
          <w:szCs w:val="22"/>
          <w:color w:val="auto"/>
        </w:rPr>
        <w:t xml:space="preserve">16.2 </w:t>
      </w:r>
      <w:r>
        <w:rPr>
          <w:rFonts w:ascii="Arial" w:cs="Arial" w:eastAsia="Arial" w:hAnsi="Arial"/>
          <w:sz w:val="22"/>
          <w:szCs w:val="22"/>
          <w:b w:val="1"/>
          <w:bCs w:val="1"/>
          <w:color w:val="auto"/>
        </w:rPr>
        <w:t>Deferral and/or Distribution Elections.</w:t>
      </w:r>
      <w:r>
        <w:rPr>
          <w:rFonts w:ascii="Arial" w:cs="Arial" w:eastAsia="Arial" w:hAnsi="Arial"/>
          <w:sz w:val="22"/>
          <w:szCs w:val="22"/>
          <w:color w:val="auto"/>
        </w:rPr>
        <w:t xml:space="preserve"> Except as otherwise permitted or required by Section 409A or any applicable U.S. Treasury Regulations promulgated pursuant to Section 409A or other applicable guidance, the following rules shall apply to any deferral and/or distribution elections (each, an “</w:t>
      </w:r>
      <w:r>
        <w:rPr>
          <w:rFonts w:ascii="Arial" w:cs="Arial" w:eastAsia="Arial" w:hAnsi="Arial"/>
          <w:sz w:val="22"/>
          <w:szCs w:val="22"/>
          <w:b w:val="1"/>
          <w:bCs w:val="1"/>
          <w:i w:val="1"/>
          <w:iCs w:val="1"/>
          <w:color w:val="auto"/>
        </w:rPr>
        <w:t>Election</w:t>
      </w:r>
      <w:r>
        <w:rPr>
          <w:rFonts w:ascii="Arial" w:cs="Arial" w:eastAsia="Arial" w:hAnsi="Arial"/>
          <w:sz w:val="22"/>
          <w:szCs w:val="22"/>
          <w:color w:val="auto"/>
        </w:rPr>
        <w:t>”) that may be permitted or required by the Committee pursuant to an Award subject to Section 409A:</w:t>
      </w:r>
    </w:p>
    <w:p>
      <w:pPr>
        <w:spacing w:after="0" w:line="227" w:lineRule="exact"/>
        <w:rPr>
          <w:sz w:val="20"/>
          <w:szCs w:val="20"/>
          <w:color w:val="auto"/>
        </w:rPr>
      </w:pPr>
    </w:p>
    <w:p>
      <w:pPr>
        <w:ind w:right="440" w:firstLine="1953"/>
        <w:spacing w:after="0" w:line="263" w:lineRule="auto"/>
        <w:tabs>
          <w:tab w:leader="none" w:pos="2833" w:val="left"/>
        </w:tabs>
        <w:numPr>
          <w:ilvl w:val="0"/>
          <w:numId w:val="74"/>
        </w:numPr>
        <w:rPr>
          <w:rFonts w:ascii="Arial" w:cs="Arial" w:eastAsia="Arial" w:hAnsi="Arial"/>
          <w:sz w:val="22"/>
          <w:szCs w:val="22"/>
          <w:color w:val="auto"/>
        </w:rPr>
      </w:pPr>
      <w:r>
        <w:rPr>
          <w:rFonts w:ascii="Arial" w:cs="Arial" w:eastAsia="Arial" w:hAnsi="Arial"/>
          <w:sz w:val="22"/>
          <w:szCs w:val="22"/>
          <w:color w:val="auto"/>
        </w:rPr>
        <w:t>All Elections must be in writing and specify the amount of the distribution in settlement of an Award being deferred, as well as the time and form of distribution as permitted by this Plan.</w:t>
      </w:r>
    </w:p>
    <w:p>
      <w:pPr>
        <w:spacing w:after="0" w:line="215" w:lineRule="exact"/>
        <w:rPr>
          <w:rFonts w:ascii="Arial" w:cs="Arial" w:eastAsia="Arial" w:hAnsi="Arial"/>
          <w:sz w:val="22"/>
          <w:szCs w:val="22"/>
          <w:color w:val="auto"/>
        </w:rPr>
      </w:pPr>
    </w:p>
    <w:p>
      <w:pPr>
        <w:ind w:right="160" w:firstLine="1953"/>
        <w:spacing w:after="0" w:line="302" w:lineRule="auto"/>
        <w:tabs>
          <w:tab w:leader="none" w:pos="2845" w:val="left"/>
        </w:tabs>
        <w:numPr>
          <w:ilvl w:val="0"/>
          <w:numId w:val="74"/>
        </w:numPr>
        <w:rPr>
          <w:rFonts w:ascii="Arial" w:cs="Arial" w:eastAsia="Arial" w:hAnsi="Arial"/>
          <w:sz w:val="19"/>
          <w:szCs w:val="19"/>
          <w:color w:val="auto"/>
        </w:rPr>
      </w:pPr>
      <w:r>
        <w:rPr>
          <w:rFonts w:ascii="Arial" w:cs="Arial" w:eastAsia="Arial" w:hAnsi="Arial"/>
          <w:sz w:val="19"/>
          <w:szCs w:val="19"/>
          <w:color w:val="auto"/>
        </w:rPr>
        <w:t>All Elections shall be made by the end of the Participant’s taxable year prior to the year in which services commence for which an Award may be granted to such Participant; provided, however, that if the Award qualifies as “performance-based compensation” for purposes of Section 409A and is based on services performed over a period of at least twelve (12) months, then the Election may be made no later than six (6) months prior to the end of such period.</w:t>
      </w:r>
    </w:p>
    <w:p>
      <w:pPr>
        <w:spacing w:after="0" w:line="183" w:lineRule="exact"/>
        <w:rPr>
          <w:rFonts w:ascii="Arial" w:cs="Arial" w:eastAsia="Arial" w:hAnsi="Arial"/>
          <w:sz w:val="19"/>
          <w:szCs w:val="19"/>
          <w:color w:val="auto"/>
        </w:rPr>
      </w:pPr>
    </w:p>
    <w:p>
      <w:pPr>
        <w:ind w:right="280" w:firstLine="1953"/>
        <w:spacing w:after="0" w:line="312" w:lineRule="auto"/>
        <w:tabs>
          <w:tab w:leader="none" w:pos="2833" w:val="left"/>
        </w:tabs>
        <w:numPr>
          <w:ilvl w:val="0"/>
          <w:numId w:val="74"/>
        </w:numPr>
        <w:rPr>
          <w:rFonts w:ascii="Arial" w:cs="Arial" w:eastAsia="Arial" w:hAnsi="Arial"/>
          <w:sz w:val="19"/>
          <w:szCs w:val="19"/>
          <w:color w:val="auto"/>
        </w:rPr>
      </w:pPr>
      <w:r>
        <w:rPr>
          <w:rFonts w:ascii="Arial" w:cs="Arial" w:eastAsia="Arial" w:hAnsi="Arial"/>
          <w:sz w:val="19"/>
          <w:szCs w:val="19"/>
          <w:color w:val="auto"/>
        </w:rPr>
        <w:t>Elections shall continue in effect until a written election to revoke or change such Election is received by the Company, except that a written election to revoke or change such Election must be made prior to the last day for making an Election determined in accordance with paragraph (b) above or as permitted by Section 16.3.</w:t>
      </w:r>
    </w:p>
    <w:p>
      <w:pPr>
        <w:spacing w:after="0" w:line="168" w:lineRule="exact"/>
        <w:rPr>
          <w:sz w:val="20"/>
          <w:szCs w:val="20"/>
          <w:color w:val="auto"/>
        </w:rPr>
      </w:pPr>
    </w:p>
    <w:p>
      <w:pPr>
        <w:ind w:firstLine="1297"/>
        <w:spacing w:after="0" w:line="252" w:lineRule="auto"/>
        <w:rPr>
          <w:sz w:val="20"/>
          <w:szCs w:val="20"/>
          <w:color w:val="auto"/>
        </w:rPr>
      </w:pPr>
      <w:r>
        <w:rPr>
          <w:rFonts w:ascii="Arial" w:cs="Arial" w:eastAsia="Arial" w:hAnsi="Arial"/>
          <w:sz w:val="22"/>
          <w:szCs w:val="22"/>
          <w:color w:val="auto"/>
        </w:rPr>
        <w:t xml:space="preserve">16.3 </w:t>
      </w:r>
      <w:r>
        <w:rPr>
          <w:rFonts w:ascii="Arial" w:cs="Arial" w:eastAsia="Arial" w:hAnsi="Arial"/>
          <w:sz w:val="22"/>
          <w:szCs w:val="22"/>
          <w:b w:val="1"/>
          <w:bCs w:val="1"/>
          <w:color w:val="auto"/>
        </w:rPr>
        <w:t>Subsequent Elections</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Except as otherwise permitted or required by Section 409A or any applicable U.S. Treasury Regulations promulgated pursuant to Section 409A or other applicable guidance, any Award subject to Section 409A which permits a subsequent Election to delay the distribution or change the form of distribution in settlement of such Award shall comply with the following requirements:</w:t>
      </w:r>
    </w:p>
    <w:p>
      <w:pPr>
        <w:spacing w:after="0" w:line="227" w:lineRule="exact"/>
        <w:rPr>
          <w:sz w:val="20"/>
          <w:szCs w:val="20"/>
          <w:color w:val="auto"/>
        </w:rPr>
      </w:pPr>
    </w:p>
    <w:p>
      <w:pPr>
        <w:ind w:left="2840" w:hanging="887"/>
        <w:spacing w:after="0"/>
        <w:tabs>
          <w:tab w:leader="none" w:pos="28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No subsequent Election may take effect until at least twelve (12) months after the date on which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subsequent Election is made;</w:t>
      </w:r>
    </w:p>
    <w:p>
      <w:pPr>
        <w:spacing w:after="0" w:line="242" w:lineRule="exact"/>
        <w:rPr>
          <w:rFonts w:ascii="Arial" w:cs="Arial" w:eastAsia="Arial" w:hAnsi="Arial"/>
          <w:sz w:val="19"/>
          <w:szCs w:val="19"/>
          <w:color w:val="auto"/>
        </w:rPr>
      </w:pPr>
    </w:p>
    <w:p>
      <w:pPr>
        <w:ind w:right="20" w:firstLine="1953"/>
        <w:spacing w:after="0" w:line="253" w:lineRule="auto"/>
        <w:tabs>
          <w:tab w:leader="none" w:pos="2845" w:val="left"/>
        </w:tabs>
        <w:numPr>
          <w:ilvl w:val="0"/>
          <w:numId w:val="75"/>
        </w:numPr>
        <w:rPr>
          <w:rFonts w:ascii="Arial" w:cs="Arial" w:eastAsia="Arial" w:hAnsi="Arial"/>
          <w:sz w:val="22"/>
          <w:szCs w:val="22"/>
          <w:color w:val="auto"/>
        </w:rPr>
      </w:pPr>
      <w:r>
        <w:rPr>
          <w:rFonts w:ascii="Arial" w:cs="Arial" w:eastAsia="Arial" w:hAnsi="Arial"/>
          <w:sz w:val="22"/>
          <w:szCs w:val="22"/>
          <w:color w:val="auto"/>
        </w:rPr>
        <w:t>Each subsequent Election related to a distribution in settlement of an Award not described in Section 16.3(b), 16.4(b), or 16.4(f) must result in a delay of the distribution for a period of not less than five (5) years from the date such distribution would otherwise have been made; and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A- 31</w:t>
      </w:r>
    </w:p>
    <w:p>
      <w:pPr>
        <w:sectPr>
          <w:pgSz w:w="11900" w:h="16838" w:orient="portrait"/>
          <w:cols w:equalWidth="0" w:num="1">
            <w:col w:w="11380"/>
          </w:cols>
          <w:pgMar w:left="240" w:top="591" w:right="279" w:bottom="1440" w:gutter="0" w:footer="0" w:header="0"/>
        </w:sectPr>
      </w:pPr>
    </w:p>
    <w:bookmarkStart w:id="65" w:name="page66"/>
    <w:bookmarkEnd w:id="65"/>
    <w:p>
      <w:pPr>
        <w:ind w:firstLine="1953"/>
        <w:spacing w:after="0" w:line="263" w:lineRule="auto"/>
        <w:tabs>
          <w:tab w:leader="none" w:pos="2833"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 subsequent Election related to a distribution pursuant to Section 16.4(d) shall be made less than twelve (12) months prior to the date of the first scheduled payment under such distribution.</w:t>
      </w:r>
    </w:p>
    <w:p>
      <w:pPr>
        <w:spacing w:after="0" w:line="209" w:lineRule="exact"/>
        <w:rPr>
          <w:sz w:val="20"/>
          <w:szCs w:val="20"/>
          <w:color w:val="auto"/>
        </w:rPr>
      </w:pPr>
    </w:p>
    <w:p>
      <w:pPr>
        <w:ind w:right="300" w:firstLine="1297"/>
        <w:spacing w:after="0" w:line="274" w:lineRule="auto"/>
        <w:rPr>
          <w:sz w:val="20"/>
          <w:szCs w:val="20"/>
          <w:color w:val="auto"/>
        </w:rPr>
      </w:pPr>
      <w:r>
        <w:rPr>
          <w:rFonts w:ascii="Arial" w:cs="Arial" w:eastAsia="Arial" w:hAnsi="Arial"/>
          <w:sz w:val="21"/>
          <w:szCs w:val="21"/>
          <w:color w:val="auto"/>
        </w:rPr>
        <w:t xml:space="preserve">16.4 </w:t>
      </w:r>
      <w:r>
        <w:rPr>
          <w:rFonts w:ascii="Arial" w:cs="Arial" w:eastAsia="Arial" w:hAnsi="Arial"/>
          <w:sz w:val="21"/>
          <w:szCs w:val="21"/>
          <w:b w:val="1"/>
          <w:bCs w:val="1"/>
          <w:color w:val="auto"/>
        </w:rPr>
        <w:t>Distributions Pursuant to Deferral Elections</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Except as otherwise permitted or required by Section 409A or any applicable U.S. Treasury Regulations promulgated pursuant to Section 409A or other applicable guidance, no distribution in settlement of an Award subject to Section 409A may commence earlier than:</w:t>
      </w:r>
    </w:p>
    <w:p>
      <w:pPr>
        <w:spacing w:after="0" w:line="205" w:lineRule="exact"/>
        <w:rPr>
          <w:sz w:val="20"/>
          <w:szCs w:val="20"/>
          <w:color w:val="auto"/>
        </w:rPr>
      </w:pPr>
    </w:p>
    <w:p>
      <w:pPr>
        <w:ind w:left="2840" w:hanging="887"/>
        <w:spacing w:after="0"/>
        <w:tabs>
          <w:tab w:leader="none" w:pos="28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Separation from service (as determined by the Secretary of the United States Treasury);</w:t>
      </w:r>
    </w:p>
    <w:p>
      <w:pPr>
        <w:spacing w:after="0" w:line="260" w:lineRule="exact"/>
        <w:rPr>
          <w:rFonts w:ascii="Arial" w:cs="Arial" w:eastAsia="Arial" w:hAnsi="Arial"/>
          <w:sz w:val="22"/>
          <w:szCs w:val="22"/>
          <w:color w:val="auto"/>
        </w:rPr>
      </w:pPr>
    </w:p>
    <w:p>
      <w:pPr>
        <w:ind w:left="2860" w:hanging="907"/>
        <w:spacing w:after="0"/>
        <w:tabs>
          <w:tab w:leader="none" w:pos="28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date the Participant becomes Disabled (as defined below);</w:t>
      </w:r>
    </w:p>
    <w:p>
      <w:pPr>
        <w:spacing w:after="0" w:line="260" w:lineRule="exact"/>
        <w:rPr>
          <w:rFonts w:ascii="Arial" w:cs="Arial" w:eastAsia="Arial" w:hAnsi="Arial"/>
          <w:sz w:val="22"/>
          <w:szCs w:val="22"/>
          <w:color w:val="auto"/>
        </w:rPr>
      </w:pPr>
    </w:p>
    <w:p>
      <w:pPr>
        <w:ind w:left="2840" w:hanging="887"/>
        <w:spacing w:after="0"/>
        <w:tabs>
          <w:tab w:leader="none" w:pos="28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Death;</w:t>
      </w:r>
    </w:p>
    <w:p>
      <w:pPr>
        <w:spacing w:after="0" w:line="260" w:lineRule="exact"/>
        <w:rPr>
          <w:rFonts w:ascii="Arial" w:cs="Arial" w:eastAsia="Arial" w:hAnsi="Arial"/>
          <w:sz w:val="22"/>
          <w:szCs w:val="22"/>
          <w:color w:val="auto"/>
        </w:rPr>
      </w:pPr>
    </w:p>
    <w:p>
      <w:pPr>
        <w:ind w:right="220" w:firstLine="1953"/>
        <w:spacing w:after="0" w:line="271" w:lineRule="auto"/>
        <w:tabs>
          <w:tab w:leader="none" w:pos="2845" w:val="left"/>
        </w:tabs>
        <w:numPr>
          <w:ilvl w:val="0"/>
          <w:numId w:val="77"/>
        </w:numPr>
        <w:rPr>
          <w:rFonts w:ascii="Arial" w:cs="Arial" w:eastAsia="Arial" w:hAnsi="Arial"/>
          <w:sz w:val="21"/>
          <w:szCs w:val="21"/>
          <w:color w:val="auto"/>
        </w:rPr>
      </w:pPr>
      <w:r>
        <w:rPr>
          <w:rFonts w:ascii="Arial" w:cs="Arial" w:eastAsia="Arial" w:hAnsi="Arial"/>
          <w:sz w:val="21"/>
          <w:szCs w:val="21"/>
          <w:color w:val="auto"/>
        </w:rPr>
        <w:t>A specified time (or pursuant to a fixed schedule) that is either (i) specified by the Committee upon the grant of an Award and set forth in the Award Agreement evidencing such Award or (ii) specified by the Participant in an Election complying with the requirements of Section 16.2 and/or 16.3, as applicable;</w:t>
      </w:r>
    </w:p>
    <w:p>
      <w:pPr>
        <w:spacing w:after="0" w:line="208" w:lineRule="exact"/>
        <w:rPr>
          <w:rFonts w:ascii="Arial" w:cs="Arial" w:eastAsia="Arial" w:hAnsi="Arial"/>
          <w:sz w:val="21"/>
          <w:szCs w:val="21"/>
          <w:color w:val="auto"/>
        </w:rPr>
      </w:pPr>
    </w:p>
    <w:p>
      <w:pPr>
        <w:ind w:right="780" w:firstLine="1953"/>
        <w:spacing w:after="0" w:line="343" w:lineRule="auto"/>
        <w:tabs>
          <w:tab w:leader="none" w:pos="2833" w:val="left"/>
        </w:tabs>
        <w:numPr>
          <w:ilvl w:val="0"/>
          <w:numId w:val="77"/>
        </w:numPr>
        <w:rPr>
          <w:rFonts w:ascii="Arial" w:cs="Arial" w:eastAsia="Arial" w:hAnsi="Arial"/>
          <w:sz w:val="19"/>
          <w:szCs w:val="19"/>
          <w:color w:val="auto"/>
        </w:rPr>
      </w:pPr>
      <w:r>
        <w:rPr>
          <w:rFonts w:ascii="Arial" w:cs="Arial" w:eastAsia="Arial" w:hAnsi="Arial"/>
          <w:sz w:val="19"/>
          <w:szCs w:val="19"/>
          <w:color w:val="auto"/>
        </w:rPr>
        <w:t>To the extent provided by the Secretary of the U.S. Treasury, a change in the ownership or effective control or the Company or in the ownership of a substantial portion of the assets of the Company; or</w:t>
      </w:r>
    </w:p>
    <w:p>
      <w:pPr>
        <w:spacing w:after="0" w:line="145" w:lineRule="exact"/>
        <w:rPr>
          <w:rFonts w:ascii="Arial" w:cs="Arial" w:eastAsia="Arial" w:hAnsi="Arial"/>
          <w:sz w:val="19"/>
          <w:szCs w:val="19"/>
          <w:color w:val="auto"/>
        </w:rPr>
      </w:pPr>
    </w:p>
    <w:p>
      <w:pPr>
        <w:ind w:right="920" w:firstLine="1953"/>
        <w:spacing w:after="0" w:line="263" w:lineRule="auto"/>
        <w:tabs>
          <w:tab w:leader="none" w:pos="2809"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occurrence of an Unforeseeable Emergency (as defined by applicable U. S. Treasury Regulations promulgated pursuant to Section 409A).</w:t>
      </w:r>
    </w:p>
    <w:p>
      <w:pPr>
        <w:spacing w:after="0" w:line="215"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Notwithstanding anything else herein to the contrary, to the extent that a Participant is a “Specified Employee” (as defined in Section 409A(a)(2)(B)(i)) of the Code) of the Company, no distribution pursuant to Section 16.4(a) in settlement of an Award subject to Section 409A may be made before the date which is six (6) months after such Participant’s date of separation from service, or, if earlier, the date of the Participant’s death.</w:t>
      </w:r>
    </w:p>
    <w:p>
      <w:pPr>
        <w:spacing w:after="0" w:line="182" w:lineRule="exact"/>
        <w:rPr>
          <w:sz w:val="20"/>
          <w:szCs w:val="20"/>
          <w:color w:val="auto"/>
        </w:rPr>
      </w:pPr>
    </w:p>
    <w:p>
      <w:pPr>
        <w:ind w:right="20" w:firstLine="1297"/>
        <w:spacing w:after="0" w:line="259" w:lineRule="auto"/>
        <w:rPr>
          <w:sz w:val="20"/>
          <w:szCs w:val="20"/>
          <w:color w:val="auto"/>
        </w:rPr>
      </w:pPr>
      <w:r>
        <w:rPr>
          <w:rFonts w:ascii="Arial" w:cs="Arial" w:eastAsia="Arial" w:hAnsi="Arial"/>
          <w:sz w:val="21"/>
          <w:szCs w:val="21"/>
          <w:color w:val="auto"/>
        </w:rPr>
        <w:t xml:space="preserve">16.5 </w:t>
      </w:r>
      <w:r>
        <w:rPr>
          <w:rFonts w:ascii="Arial" w:cs="Arial" w:eastAsia="Arial" w:hAnsi="Arial"/>
          <w:sz w:val="21"/>
          <w:szCs w:val="21"/>
          <w:b w:val="1"/>
          <w:bCs w:val="1"/>
          <w:color w:val="auto"/>
        </w:rPr>
        <w:t>Unforeseeable Emergency</w:t>
      </w:r>
      <w:r>
        <w:rPr>
          <w:rFonts w:ascii="Arial" w:cs="Arial" w:eastAsia="Arial" w:hAnsi="Arial"/>
          <w:sz w:val="21"/>
          <w:szCs w:val="21"/>
          <w:color w:val="auto"/>
        </w:rPr>
        <w:t>. The Committee shall have the authority to provide in the Award Agreement evidencing any Award subject to Section 409A for distribution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necessary to satisfy such Unforeseeable Emergency plus amounts necessary to pay taxes reasonably anticipated as a result of such distribution(s),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or cessation of deferrals under the Award. All distributions with respect to an Unforeseeable Emergency shall be made in a lump sum as soon as practicable following the Committee’s determination that an Unforeseeable Emergency has occurred.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A- 32</w:t>
      </w:r>
    </w:p>
    <w:p>
      <w:pPr>
        <w:sectPr>
          <w:pgSz w:w="11900" w:h="16838" w:orient="portrait"/>
          <w:cols w:equalWidth="0" w:num="1">
            <w:col w:w="11420"/>
          </w:cols>
          <w:pgMar w:left="240" w:top="591" w:right="239" w:bottom="1440" w:gutter="0" w:footer="0" w:header="0"/>
        </w:sectPr>
      </w:pPr>
    </w:p>
    <w:bookmarkStart w:id="66" w:name="page67"/>
    <w:bookmarkEnd w:id="66"/>
    <w:p>
      <w:pPr>
        <w:ind w:right="280" w:firstLine="648"/>
        <w:spacing w:after="0" w:line="312" w:lineRule="auto"/>
        <w:rPr>
          <w:sz w:val="20"/>
          <w:szCs w:val="20"/>
          <w:color w:val="auto"/>
        </w:rPr>
      </w:pPr>
      <w:r>
        <w:rPr>
          <w:rFonts w:ascii="Arial" w:cs="Arial" w:eastAsia="Arial" w:hAnsi="Arial"/>
          <w:sz w:val="19"/>
          <w:szCs w:val="19"/>
          <w:color w:val="auto"/>
        </w:rPr>
        <w:t>The occurrence of an Unforeseeable Emergency shall be judged and determined by the Committee. The Committee’s decision with respect to whether an Unforeseeable Emergency has occurred and the manner in which, if at all, the distribution in settlement of an Award shall be altered or modified, shall be final, conclusive, and not subject to approval or appeal.</w:t>
      </w:r>
    </w:p>
    <w:p>
      <w:pPr>
        <w:spacing w:after="0" w:line="128" w:lineRule="exact"/>
        <w:rPr>
          <w:sz w:val="20"/>
          <w:szCs w:val="20"/>
          <w:color w:val="auto"/>
        </w:rPr>
      </w:pPr>
    </w:p>
    <w:p>
      <w:pPr>
        <w:ind w:right="140" w:firstLine="1297"/>
        <w:spacing w:after="0" w:line="256" w:lineRule="auto"/>
        <w:rPr>
          <w:sz w:val="20"/>
          <w:szCs w:val="20"/>
          <w:color w:val="auto"/>
        </w:rPr>
      </w:pPr>
      <w:r>
        <w:rPr>
          <w:rFonts w:ascii="Arial" w:cs="Arial" w:eastAsia="Arial" w:hAnsi="Arial"/>
          <w:sz w:val="22"/>
          <w:szCs w:val="22"/>
          <w:color w:val="auto"/>
        </w:rPr>
        <w:t xml:space="preserve">16.6 </w:t>
      </w:r>
      <w:r>
        <w:rPr>
          <w:rFonts w:ascii="Arial" w:cs="Arial" w:eastAsia="Arial" w:hAnsi="Arial"/>
          <w:sz w:val="22"/>
          <w:szCs w:val="22"/>
          <w:b w:val="1"/>
          <w:bCs w:val="1"/>
          <w:color w:val="auto"/>
        </w:rPr>
        <w:t>Disabled.</w:t>
      </w:r>
      <w:r>
        <w:rPr>
          <w:rFonts w:ascii="Arial" w:cs="Arial" w:eastAsia="Arial" w:hAnsi="Arial"/>
          <w:sz w:val="22"/>
          <w:szCs w:val="22"/>
          <w:color w:val="auto"/>
        </w:rPr>
        <w:t xml:space="preserve"> The Committee shall have the authority to provide in any Award subject to Section 409A for distribution in settlement of such Award in the event that the Participant becomes Disabled. A Participant shall be considered “Disabled” if either:</w:t>
      </w:r>
    </w:p>
    <w:p>
      <w:pPr>
        <w:spacing w:after="0" w:line="223" w:lineRule="exact"/>
        <w:rPr>
          <w:sz w:val="20"/>
          <w:szCs w:val="20"/>
          <w:color w:val="auto"/>
        </w:rPr>
      </w:pPr>
    </w:p>
    <w:p>
      <w:pPr>
        <w:ind w:right="240" w:firstLine="1953"/>
        <w:spacing w:after="0" w:line="253" w:lineRule="auto"/>
        <w:tabs>
          <w:tab w:leader="none" w:pos="2833"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Participant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226" w:lineRule="exact"/>
        <w:rPr>
          <w:rFonts w:ascii="Arial" w:cs="Arial" w:eastAsia="Arial" w:hAnsi="Arial"/>
          <w:sz w:val="22"/>
          <w:szCs w:val="22"/>
          <w:color w:val="auto"/>
        </w:rPr>
      </w:pPr>
    </w:p>
    <w:p>
      <w:pPr>
        <w:jc w:val="both"/>
        <w:ind w:firstLine="1953"/>
        <w:spacing w:after="0" w:line="250" w:lineRule="auto"/>
        <w:tabs>
          <w:tab w:leader="none" w:pos="2845"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Participant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Participant’s employer.</w:t>
      </w:r>
    </w:p>
    <w:p>
      <w:pPr>
        <w:spacing w:after="0" w:line="200" w:lineRule="exact"/>
        <w:rPr>
          <w:sz w:val="20"/>
          <w:szCs w:val="20"/>
          <w:color w:val="auto"/>
        </w:rPr>
      </w:pPr>
    </w:p>
    <w:p>
      <w:pPr>
        <w:spacing w:after="0" w:line="245" w:lineRule="exact"/>
        <w:rPr>
          <w:sz w:val="20"/>
          <w:szCs w:val="20"/>
          <w:color w:val="auto"/>
        </w:rPr>
      </w:pPr>
    </w:p>
    <w:p>
      <w:pPr>
        <w:ind w:right="500" w:firstLine="648"/>
        <w:spacing w:after="0" w:line="302" w:lineRule="auto"/>
        <w:rPr>
          <w:sz w:val="20"/>
          <w:szCs w:val="20"/>
          <w:color w:val="auto"/>
        </w:rPr>
      </w:pPr>
      <w:r>
        <w:rPr>
          <w:rFonts w:ascii="Arial" w:cs="Arial" w:eastAsia="Arial" w:hAnsi="Arial"/>
          <w:sz w:val="19"/>
          <w:szCs w:val="19"/>
          <w:color w:val="auto"/>
        </w:rPr>
        <w:t>All distributions payable by reason of a Participant becoming Disabled shall be paid in a lump sum or in periodic installments as established by the Participant’s Election, commencing as soon as practicable following the date the Participant becomes Disabled. If the Participant has made no Election with respect to distributions upon becoming Disabled, all such distributions shall be paid in a lump sum as soon as practicable following the date the Participant becomes Disabled.</w:t>
      </w:r>
    </w:p>
    <w:p>
      <w:pPr>
        <w:spacing w:after="0" w:line="137" w:lineRule="exact"/>
        <w:rPr>
          <w:sz w:val="20"/>
          <w:szCs w:val="20"/>
          <w:color w:val="auto"/>
        </w:rPr>
      </w:pPr>
    </w:p>
    <w:p>
      <w:pPr>
        <w:ind w:right="100" w:firstLine="1297"/>
        <w:spacing w:after="0" w:line="248" w:lineRule="auto"/>
        <w:rPr>
          <w:sz w:val="20"/>
          <w:szCs w:val="20"/>
          <w:color w:val="auto"/>
        </w:rPr>
      </w:pPr>
      <w:r>
        <w:rPr>
          <w:rFonts w:ascii="Arial" w:cs="Arial" w:eastAsia="Arial" w:hAnsi="Arial"/>
          <w:sz w:val="22"/>
          <w:szCs w:val="22"/>
          <w:color w:val="auto"/>
        </w:rPr>
        <w:t xml:space="preserve">16.7 </w:t>
      </w:r>
      <w:r>
        <w:rPr>
          <w:rFonts w:ascii="Arial" w:cs="Arial" w:eastAsia="Arial" w:hAnsi="Arial"/>
          <w:sz w:val="22"/>
          <w:szCs w:val="22"/>
          <w:b w:val="1"/>
          <w:bCs w:val="1"/>
          <w:color w:val="auto"/>
        </w:rPr>
        <w:t>Death</w:t>
      </w:r>
      <w:r>
        <w:rPr>
          <w:rFonts w:ascii="Arial" w:cs="Arial" w:eastAsia="Arial" w:hAnsi="Arial"/>
          <w:sz w:val="22"/>
          <w:szCs w:val="22"/>
          <w:color w:val="auto"/>
        </w:rPr>
        <w:t>. If a Participant dies before complete distribution of amounts payable upon settlement of an Award subject to Section 409A, such undistributed amounts shall be distributed to his or her beneficiary under the distribution method for death established by the Participant’s Election as soon as administratively possible following receipt by the Committee of satisfactory notice and confirmation of the Participant’s death. If the Participant has made no Election with respect to distributions upon death, all such distributions shall be paid in a lump sum as soon as practicable following the date of the Participant’s death.</w:t>
      </w:r>
    </w:p>
    <w:p>
      <w:pPr>
        <w:spacing w:after="0" w:line="228" w:lineRule="exact"/>
        <w:rPr>
          <w:sz w:val="20"/>
          <w:szCs w:val="20"/>
          <w:color w:val="auto"/>
        </w:rPr>
      </w:pPr>
    </w:p>
    <w:p>
      <w:pPr>
        <w:jc w:val="both"/>
        <w:ind w:right="160" w:firstLine="1297"/>
        <w:spacing w:after="0" w:line="256" w:lineRule="auto"/>
        <w:rPr>
          <w:sz w:val="20"/>
          <w:szCs w:val="20"/>
          <w:color w:val="auto"/>
        </w:rPr>
      </w:pPr>
      <w:r>
        <w:rPr>
          <w:rFonts w:ascii="Arial" w:cs="Arial" w:eastAsia="Arial" w:hAnsi="Arial"/>
          <w:sz w:val="22"/>
          <w:szCs w:val="22"/>
          <w:color w:val="auto"/>
        </w:rPr>
        <w:t xml:space="preserve">16.8 </w:t>
      </w:r>
      <w:r>
        <w:rPr>
          <w:rFonts w:ascii="Arial" w:cs="Arial" w:eastAsia="Arial" w:hAnsi="Arial"/>
          <w:sz w:val="22"/>
          <w:szCs w:val="22"/>
          <w:b w:val="1"/>
          <w:bCs w:val="1"/>
          <w:color w:val="auto"/>
        </w:rPr>
        <w:t>No Acceleration of Distributions.</w:t>
      </w:r>
      <w:r>
        <w:rPr>
          <w:rFonts w:ascii="Arial" w:cs="Arial" w:eastAsia="Arial" w:hAnsi="Arial"/>
          <w:sz w:val="22"/>
          <w:szCs w:val="22"/>
          <w:color w:val="auto"/>
        </w:rPr>
        <w:t xml:space="preserve"> Notwithstanding anything to the contrary herein, this Plan does not permit the acceleration of the time or schedule of any distribution under an Award subject to Section 409A, except as provided by Section 409A and/or the Secretary of the U.S. Treasury.</w:t>
      </w:r>
    </w:p>
    <w:p>
      <w:pPr>
        <w:spacing w:after="0" w:line="217" w:lineRule="exact"/>
        <w:rPr>
          <w:sz w:val="20"/>
          <w:szCs w:val="20"/>
          <w:color w:val="auto"/>
        </w:rPr>
      </w:pPr>
    </w:p>
    <w:p>
      <w:pPr>
        <w:ind w:left="1140" w:hanging="484"/>
        <w:spacing w:after="0"/>
        <w:tabs>
          <w:tab w:leader="none" w:pos="1140" w:val="left"/>
        </w:tabs>
        <w:numPr>
          <w:ilvl w:val="0"/>
          <w:numId w:val="79"/>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 PROVISIONS</w:t>
      </w:r>
      <w:r>
        <w:rPr>
          <w:rFonts w:ascii="Arial" w:cs="Arial" w:eastAsia="Arial" w:hAnsi="Arial"/>
          <w:sz w:val="22"/>
          <w:szCs w:val="22"/>
          <w:b w:val="1"/>
          <w:bCs w:val="1"/>
          <w:color w:val="auto"/>
        </w:rPr>
        <w:t>.</w:t>
      </w:r>
    </w:p>
    <w:p>
      <w:pPr>
        <w:spacing w:after="0" w:line="260" w:lineRule="exact"/>
        <w:rPr>
          <w:sz w:val="20"/>
          <w:szCs w:val="20"/>
          <w:color w:val="auto"/>
        </w:rPr>
      </w:pPr>
    </w:p>
    <w:p>
      <w:pPr>
        <w:ind w:right="80" w:firstLine="1297"/>
        <w:spacing w:after="0" w:line="304" w:lineRule="auto"/>
        <w:rPr>
          <w:sz w:val="20"/>
          <w:szCs w:val="20"/>
          <w:color w:val="auto"/>
        </w:rPr>
      </w:pPr>
      <w:r>
        <w:rPr>
          <w:rFonts w:ascii="Arial" w:cs="Arial" w:eastAsia="Arial" w:hAnsi="Arial"/>
          <w:sz w:val="19"/>
          <w:szCs w:val="19"/>
          <w:color w:val="auto"/>
        </w:rPr>
        <w:t xml:space="preserve">17.1 </w:t>
      </w:r>
      <w:r>
        <w:rPr>
          <w:rFonts w:ascii="Arial" w:cs="Arial" w:eastAsia="Arial" w:hAnsi="Arial"/>
          <w:sz w:val="19"/>
          <w:szCs w:val="19"/>
          <w:b w:val="1"/>
          <w:bCs w:val="1"/>
          <w:color w:val="auto"/>
        </w:rPr>
        <w:t>Repurchase Rights</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A- 33</w:t>
      </w:r>
    </w:p>
    <w:p>
      <w:pPr>
        <w:sectPr>
          <w:pgSz w:w="11900" w:h="16838" w:orient="portrait"/>
          <w:cols w:equalWidth="0" w:num="1">
            <w:col w:w="11380"/>
          </w:cols>
          <w:pgMar w:left="240" w:top="591" w:right="279" w:bottom="1440" w:gutter="0" w:footer="0" w:header="0"/>
        </w:sectPr>
      </w:pPr>
    </w:p>
    <w:bookmarkStart w:id="67" w:name="page68"/>
    <w:bookmarkEnd w:id="67"/>
    <w:p>
      <w:pPr>
        <w:jc w:val="both"/>
        <w:ind w:right="240"/>
        <w:spacing w:after="0" w:line="271" w:lineRule="auto"/>
        <w:rPr>
          <w:sz w:val="20"/>
          <w:szCs w:val="20"/>
          <w:color w:val="auto"/>
        </w:rPr>
      </w:pPr>
      <w:r>
        <w:rPr>
          <w:rFonts w:ascii="Arial" w:cs="Arial" w:eastAsia="Arial" w:hAnsi="Arial"/>
          <w:sz w:val="21"/>
          <w:szCs w:val="21"/>
          <w:color w:val="auto"/>
        </w:rPr>
        <w:t>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202" w:lineRule="exact"/>
        <w:rPr>
          <w:sz w:val="20"/>
          <w:szCs w:val="20"/>
          <w:color w:val="auto"/>
        </w:rPr>
      </w:pPr>
    </w:p>
    <w:p>
      <w:pPr>
        <w:ind w:right="40" w:firstLine="1297"/>
        <w:spacing w:after="0" w:line="264" w:lineRule="auto"/>
        <w:rPr>
          <w:sz w:val="20"/>
          <w:szCs w:val="20"/>
          <w:color w:val="auto"/>
        </w:rPr>
      </w:pPr>
      <w:r>
        <w:rPr>
          <w:rFonts w:ascii="Arial" w:cs="Arial" w:eastAsia="Arial" w:hAnsi="Arial"/>
          <w:sz w:val="21"/>
          <w:szCs w:val="21"/>
          <w:color w:val="auto"/>
        </w:rPr>
        <w:t xml:space="preserve">17.2 </w:t>
      </w:r>
      <w:r>
        <w:rPr>
          <w:rFonts w:ascii="Arial" w:cs="Arial" w:eastAsia="Arial" w:hAnsi="Arial"/>
          <w:sz w:val="21"/>
          <w:szCs w:val="21"/>
          <w:b w:val="1"/>
          <w:bCs w:val="1"/>
          <w:color w:val="auto"/>
        </w:rPr>
        <w:t>Forfeiture Events.</w:t>
      </w:r>
      <w:r>
        <w:rPr>
          <w:rFonts w:ascii="Arial" w:cs="Arial" w:eastAsia="Arial" w:hAnsi="Arial"/>
          <w:sz w:val="21"/>
          <w:szCs w:val="21"/>
          <w:color w:val="auto"/>
        </w:rPr>
        <w:t xml:space="preserve"> 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w:t>
      </w:r>
    </w:p>
    <w:p>
      <w:pPr>
        <w:spacing w:after="0" w:line="211" w:lineRule="exact"/>
        <w:rPr>
          <w:sz w:val="20"/>
          <w:szCs w:val="20"/>
          <w:color w:val="auto"/>
        </w:rPr>
      </w:pPr>
    </w:p>
    <w:p>
      <w:pPr>
        <w:ind w:right="300" w:firstLine="1297"/>
        <w:spacing w:after="0" w:line="269" w:lineRule="auto"/>
        <w:rPr>
          <w:sz w:val="20"/>
          <w:szCs w:val="20"/>
          <w:color w:val="auto"/>
        </w:rPr>
      </w:pPr>
      <w:r>
        <w:rPr>
          <w:rFonts w:ascii="Arial" w:cs="Arial" w:eastAsia="Arial" w:hAnsi="Arial"/>
          <w:sz w:val="22"/>
          <w:szCs w:val="22"/>
          <w:color w:val="auto"/>
        </w:rPr>
        <w:t xml:space="preserve">17.3 </w:t>
      </w:r>
      <w:r>
        <w:rPr>
          <w:rFonts w:ascii="Arial" w:cs="Arial" w:eastAsia="Arial" w:hAnsi="Arial"/>
          <w:sz w:val="22"/>
          <w:szCs w:val="22"/>
          <w:b w:val="1"/>
          <w:bCs w:val="1"/>
          <w:color w:val="auto"/>
        </w:rPr>
        <w:t>Provision of Information.</w:t>
      </w:r>
      <w:r>
        <w:rPr>
          <w:rFonts w:ascii="Arial" w:cs="Arial" w:eastAsia="Arial" w:hAnsi="Arial"/>
          <w:sz w:val="22"/>
          <w:szCs w:val="22"/>
          <w:color w:val="auto"/>
        </w:rPr>
        <w:t xml:space="preserve"> Each Participant shall be given access to information concerning the Company equivalent to that information generally made available to the Company’s common stockholders.</w:t>
      </w:r>
    </w:p>
    <w:p>
      <w:pPr>
        <w:spacing w:after="0" w:line="203" w:lineRule="exact"/>
        <w:rPr>
          <w:sz w:val="20"/>
          <w:szCs w:val="20"/>
          <w:color w:val="auto"/>
        </w:rPr>
      </w:pPr>
    </w:p>
    <w:p>
      <w:pPr>
        <w:ind w:firstLine="1297"/>
        <w:spacing w:after="0" w:line="261" w:lineRule="auto"/>
        <w:rPr>
          <w:sz w:val="20"/>
          <w:szCs w:val="20"/>
          <w:color w:val="auto"/>
        </w:rPr>
      </w:pPr>
      <w:r>
        <w:rPr>
          <w:rFonts w:ascii="Arial" w:cs="Arial" w:eastAsia="Arial" w:hAnsi="Arial"/>
          <w:sz w:val="21"/>
          <w:szCs w:val="21"/>
          <w:color w:val="auto"/>
        </w:rPr>
        <w:t xml:space="preserve">17.4 </w:t>
      </w:r>
      <w:r>
        <w:rPr>
          <w:rFonts w:ascii="Arial" w:cs="Arial" w:eastAsia="Arial" w:hAnsi="Arial"/>
          <w:sz w:val="21"/>
          <w:szCs w:val="21"/>
          <w:b w:val="1"/>
          <w:bCs w:val="1"/>
          <w:color w:val="auto"/>
        </w:rPr>
        <w:t>Rights as Employee, Consultant or Director.</w:t>
      </w:r>
      <w:r>
        <w:rPr>
          <w:rFonts w:ascii="Arial" w:cs="Arial" w:eastAsia="Arial" w:hAnsi="Arial"/>
          <w:sz w:val="21"/>
          <w:szCs w:val="21"/>
          <w:color w:val="auto"/>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215" w:lineRule="exact"/>
        <w:rPr>
          <w:sz w:val="20"/>
          <w:szCs w:val="20"/>
          <w:color w:val="auto"/>
        </w:rPr>
      </w:pPr>
    </w:p>
    <w:p>
      <w:pPr>
        <w:ind w:right="40" w:firstLine="1297"/>
        <w:spacing w:after="0" w:line="249" w:lineRule="auto"/>
        <w:rPr>
          <w:sz w:val="20"/>
          <w:szCs w:val="20"/>
          <w:color w:val="auto"/>
        </w:rPr>
      </w:pPr>
      <w:r>
        <w:rPr>
          <w:rFonts w:ascii="Arial" w:cs="Arial" w:eastAsia="Arial" w:hAnsi="Arial"/>
          <w:sz w:val="22"/>
          <w:szCs w:val="22"/>
          <w:color w:val="auto"/>
        </w:rPr>
        <w:t xml:space="preserve">17.5 </w:t>
      </w:r>
      <w:r>
        <w:rPr>
          <w:rFonts w:ascii="Arial" w:cs="Arial" w:eastAsia="Arial" w:hAnsi="Arial"/>
          <w:sz w:val="22"/>
          <w:szCs w:val="22"/>
          <w:b w:val="1"/>
          <w:bCs w:val="1"/>
          <w:color w:val="auto"/>
        </w:rPr>
        <w:t>Rights as a Stockholder.</w:t>
      </w:r>
      <w:r>
        <w:rPr>
          <w:rFonts w:ascii="Arial" w:cs="Arial" w:eastAsia="Arial" w:hAnsi="Arial"/>
          <w:sz w:val="22"/>
          <w:szCs w:val="22"/>
          <w:color w:val="auto"/>
        </w:rPr>
        <w:t xml:space="preserve"> A Participant shall have no rights as a stockholder with respect to any shares of Stock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4.4 or another provision of the Plan.</w:t>
      </w:r>
    </w:p>
    <w:p>
      <w:pPr>
        <w:spacing w:after="0" w:line="227" w:lineRule="exact"/>
        <w:rPr>
          <w:sz w:val="20"/>
          <w:szCs w:val="20"/>
          <w:color w:val="auto"/>
        </w:rPr>
      </w:pPr>
    </w:p>
    <w:p>
      <w:pPr>
        <w:ind w:firstLine="1297"/>
        <w:spacing w:after="0" w:line="298" w:lineRule="auto"/>
        <w:rPr>
          <w:sz w:val="20"/>
          <w:szCs w:val="20"/>
          <w:color w:val="auto"/>
        </w:rPr>
      </w:pPr>
      <w:r>
        <w:rPr>
          <w:rFonts w:ascii="Arial" w:cs="Arial" w:eastAsia="Arial" w:hAnsi="Arial"/>
          <w:sz w:val="19"/>
          <w:szCs w:val="19"/>
          <w:color w:val="auto"/>
        </w:rPr>
        <w:t xml:space="preserve">17.6 </w:t>
      </w:r>
      <w:r>
        <w:rPr>
          <w:rFonts w:ascii="Arial" w:cs="Arial" w:eastAsia="Arial" w:hAnsi="Arial"/>
          <w:sz w:val="19"/>
          <w:szCs w:val="19"/>
          <w:b w:val="1"/>
          <w:bCs w:val="1"/>
          <w:color w:val="auto"/>
        </w:rPr>
        <w:t>Delivery of Title to Shares.</w:t>
      </w:r>
      <w:r>
        <w:rPr>
          <w:rFonts w:ascii="Arial" w:cs="Arial" w:eastAsia="Arial" w:hAnsi="Arial"/>
          <w:sz w:val="19"/>
          <w:szCs w:val="19"/>
          <w:color w:val="auto"/>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183" w:lineRule="exact"/>
        <w:rPr>
          <w:sz w:val="20"/>
          <w:szCs w:val="20"/>
          <w:color w:val="auto"/>
        </w:rPr>
      </w:pPr>
    </w:p>
    <w:p>
      <w:pPr>
        <w:ind w:right="180" w:firstLine="1297"/>
        <w:spacing w:after="0" w:line="269" w:lineRule="auto"/>
        <w:rPr>
          <w:sz w:val="20"/>
          <w:szCs w:val="20"/>
          <w:color w:val="auto"/>
        </w:rPr>
      </w:pPr>
      <w:r>
        <w:rPr>
          <w:rFonts w:ascii="Arial" w:cs="Arial" w:eastAsia="Arial" w:hAnsi="Arial"/>
          <w:sz w:val="22"/>
          <w:szCs w:val="22"/>
          <w:color w:val="auto"/>
        </w:rPr>
        <w:t xml:space="preserve">17.7 </w:t>
      </w:r>
      <w:r>
        <w:rPr>
          <w:rFonts w:ascii="Arial" w:cs="Arial" w:eastAsia="Arial" w:hAnsi="Arial"/>
          <w:sz w:val="22"/>
          <w:szCs w:val="22"/>
          <w:b w:val="1"/>
          <w:bCs w:val="1"/>
          <w:color w:val="auto"/>
        </w:rPr>
        <w:t>Fractional Shares.</w:t>
      </w:r>
      <w:r>
        <w:rPr>
          <w:rFonts w:ascii="Arial" w:cs="Arial" w:eastAsia="Arial" w:hAnsi="Arial"/>
          <w:sz w:val="22"/>
          <w:szCs w:val="22"/>
          <w:color w:val="auto"/>
        </w:rPr>
        <w:t xml:space="preserve"> The Company shall not be required to issue fractional shares of Stock upon the exercise or settlement of any Award.</w:t>
      </w:r>
    </w:p>
    <w:p>
      <w:pPr>
        <w:spacing w:after="0" w:line="203" w:lineRule="exact"/>
        <w:rPr>
          <w:sz w:val="20"/>
          <w:szCs w:val="20"/>
          <w:color w:val="auto"/>
        </w:rPr>
      </w:pPr>
    </w:p>
    <w:p>
      <w:pPr>
        <w:ind w:right="560" w:firstLine="1297"/>
        <w:spacing w:after="0" w:line="269" w:lineRule="auto"/>
        <w:rPr>
          <w:sz w:val="20"/>
          <w:szCs w:val="20"/>
          <w:color w:val="auto"/>
        </w:rPr>
      </w:pPr>
      <w:r>
        <w:rPr>
          <w:rFonts w:ascii="Arial" w:cs="Arial" w:eastAsia="Arial" w:hAnsi="Arial"/>
          <w:sz w:val="22"/>
          <w:szCs w:val="22"/>
          <w:color w:val="auto"/>
        </w:rPr>
        <w:t xml:space="preserve">17.8 </w:t>
      </w:r>
      <w:r>
        <w:rPr>
          <w:rFonts w:ascii="Arial" w:cs="Arial" w:eastAsia="Arial" w:hAnsi="Arial"/>
          <w:sz w:val="22"/>
          <w:szCs w:val="22"/>
          <w:b w:val="1"/>
          <w:bCs w:val="1"/>
          <w:color w:val="auto"/>
        </w:rPr>
        <w:t>Retirement and Welfare Plans</w:t>
      </w:r>
      <w:r>
        <w:rPr>
          <w:rFonts w:ascii="Arial" w:cs="Arial" w:eastAsia="Arial" w:hAnsi="Arial"/>
          <w:sz w:val="22"/>
          <w:szCs w:val="22"/>
          <w:color w:val="auto"/>
        </w:rPr>
        <w:t>. Neither Awards made under this Plan nor shares of Stock or cash paid pursuant to such Awards may be included as “compensation” for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A- 34</w:t>
      </w:r>
    </w:p>
    <w:p>
      <w:pPr>
        <w:sectPr>
          <w:pgSz w:w="11900" w:h="16838" w:orient="portrait"/>
          <w:cols w:equalWidth="0" w:num="1">
            <w:col w:w="11400"/>
          </w:cols>
          <w:pgMar w:left="240" w:top="591" w:right="259" w:bottom="1440" w:gutter="0" w:footer="0" w:header="0"/>
        </w:sectPr>
      </w:pPr>
    </w:p>
    <w:bookmarkStart w:id="68" w:name="page69"/>
    <w:bookmarkEnd w:id="68"/>
    <w:p>
      <w:pPr>
        <w:ind w:right="160"/>
        <w:spacing w:after="0" w:line="253" w:lineRule="auto"/>
        <w:rPr>
          <w:sz w:val="20"/>
          <w:szCs w:val="20"/>
          <w:color w:val="auto"/>
        </w:rPr>
      </w:pPr>
      <w:r>
        <w:rPr>
          <w:rFonts w:ascii="Arial" w:cs="Arial" w:eastAsia="Arial" w:hAnsi="Arial"/>
          <w:sz w:val="22"/>
          <w:szCs w:val="22"/>
          <w:color w:val="auto"/>
        </w:rPr>
        <w:t>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w:t>
      </w:r>
    </w:p>
    <w:p>
      <w:pPr>
        <w:spacing w:after="0" w:line="220" w:lineRule="exact"/>
        <w:rPr>
          <w:sz w:val="20"/>
          <w:szCs w:val="20"/>
          <w:color w:val="auto"/>
        </w:rPr>
      </w:pPr>
    </w:p>
    <w:p>
      <w:pPr>
        <w:ind w:right="20" w:firstLine="1297"/>
        <w:spacing w:after="0" w:line="291" w:lineRule="auto"/>
        <w:rPr>
          <w:sz w:val="20"/>
          <w:szCs w:val="20"/>
          <w:color w:val="auto"/>
        </w:rPr>
      </w:pPr>
      <w:r>
        <w:rPr>
          <w:rFonts w:ascii="Arial" w:cs="Arial" w:eastAsia="Arial" w:hAnsi="Arial"/>
          <w:sz w:val="19"/>
          <w:szCs w:val="19"/>
          <w:color w:val="auto"/>
        </w:rPr>
        <w:t xml:space="preserve">17.9 </w:t>
      </w:r>
      <w:r>
        <w:rPr>
          <w:rFonts w:ascii="Arial" w:cs="Arial" w:eastAsia="Arial" w:hAnsi="Arial"/>
          <w:sz w:val="19"/>
          <w:szCs w:val="19"/>
          <w:b w:val="1"/>
          <w:bCs w:val="1"/>
          <w:color w:val="auto"/>
        </w:rPr>
        <w:t>Beneficiary Designation.</w:t>
      </w:r>
      <w:r>
        <w:rPr>
          <w:rFonts w:ascii="Arial" w:cs="Arial" w:eastAsia="Arial" w:hAnsi="Arial"/>
          <w:sz w:val="19"/>
          <w:szCs w:val="19"/>
          <w:color w:val="auto"/>
        </w:rPr>
        <w:t xml:space="preserve">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190" w:lineRule="exact"/>
        <w:rPr>
          <w:sz w:val="20"/>
          <w:szCs w:val="20"/>
          <w:color w:val="auto"/>
        </w:rPr>
      </w:pPr>
    </w:p>
    <w:p>
      <w:pPr>
        <w:ind w:right="120" w:firstLine="1297"/>
        <w:spacing w:after="0" w:line="252" w:lineRule="auto"/>
        <w:rPr>
          <w:sz w:val="20"/>
          <w:szCs w:val="20"/>
          <w:color w:val="auto"/>
        </w:rPr>
      </w:pPr>
      <w:r>
        <w:rPr>
          <w:rFonts w:ascii="Arial" w:cs="Arial" w:eastAsia="Arial" w:hAnsi="Arial"/>
          <w:sz w:val="22"/>
          <w:szCs w:val="22"/>
          <w:color w:val="auto"/>
        </w:rPr>
        <w:t xml:space="preserve">17.10 </w:t>
      </w:r>
      <w:r>
        <w:rPr>
          <w:rFonts w:ascii="Arial" w:cs="Arial" w:eastAsia="Arial" w:hAnsi="Arial"/>
          <w:sz w:val="22"/>
          <w:szCs w:val="22"/>
          <w:b w:val="1"/>
          <w:bCs w:val="1"/>
          <w:color w:val="auto"/>
        </w:rPr>
        <w:t>Severability</w:t>
      </w:r>
      <w:r>
        <w:rPr>
          <w:rFonts w:ascii="Arial" w:cs="Arial" w:eastAsia="Arial" w:hAnsi="Arial"/>
          <w:sz w:val="22"/>
          <w:szCs w:val="22"/>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221" w:lineRule="exact"/>
        <w:rPr>
          <w:sz w:val="20"/>
          <w:szCs w:val="20"/>
          <w:color w:val="auto"/>
        </w:rPr>
      </w:pPr>
    </w:p>
    <w:p>
      <w:pPr>
        <w:ind w:right="100" w:firstLine="1297"/>
        <w:spacing w:after="0" w:line="264" w:lineRule="auto"/>
        <w:rPr>
          <w:sz w:val="20"/>
          <w:szCs w:val="20"/>
          <w:color w:val="auto"/>
        </w:rPr>
      </w:pPr>
      <w:r>
        <w:rPr>
          <w:rFonts w:ascii="Arial" w:cs="Arial" w:eastAsia="Arial" w:hAnsi="Arial"/>
          <w:sz w:val="21"/>
          <w:szCs w:val="21"/>
          <w:color w:val="auto"/>
        </w:rPr>
        <w:t xml:space="preserve">17.11 </w:t>
      </w:r>
      <w:r>
        <w:rPr>
          <w:rFonts w:ascii="Arial" w:cs="Arial" w:eastAsia="Arial" w:hAnsi="Arial"/>
          <w:sz w:val="21"/>
          <w:szCs w:val="21"/>
          <w:b w:val="1"/>
          <w:bCs w:val="1"/>
          <w:color w:val="auto"/>
        </w:rPr>
        <w:t>No Constraint on Corporate Action.</w:t>
      </w:r>
      <w:r>
        <w:rPr>
          <w:rFonts w:ascii="Arial" w:cs="Arial" w:eastAsia="Arial" w:hAnsi="Arial"/>
          <w:sz w:val="21"/>
          <w:szCs w:val="21"/>
          <w:color w:val="auto"/>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211" w:lineRule="exact"/>
        <w:rPr>
          <w:sz w:val="20"/>
          <w:szCs w:val="20"/>
          <w:color w:val="auto"/>
        </w:rPr>
      </w:pPr>
    </w:p>
    <w:p>
      <w:pPr>
        <w:ind w:firstLine="1297"/>
        <w:spacing w:after="0" w:line="289" w:lineRule="auto"/>
        <w:rPr>
          <w:sz w:val="20"/>
          <w:szCs w:val="20"/>
          <w:color w:val="auto"/>
        </w:rPr>
      </w:pPr>
      <w:r>
        <w:rPr>
          <w:rFonts w:ascii="Arial" w:cs="Arial" w:eastAsia="Arial" w:hAnsi="Arial"/>
          <w:sz w:val="19"/>
          <w:szCs w:val="19"/>
          <w:color w:val="auto"/>
        </w:rPr>
        <w:t xml:space="preserve">17.12 </w:t>
      </w:r>
      <w:r>
        <w:rPr>
          <w:rFonts w:ascii="Arial" w:cs="Arial" w:eastAsia="Arial" w:hAnsi="Arial"/>
          <w:sz w:val="19"/>
          <w:szCs w:val="19"/>
          <w:b w:val="1"/>
          <w:bCs w:val="1"/>
          <w:color w:val="auto"/>
        </w:rPr>
        <w:t>Unfunded Obligation.</w:t>
      </w:r>
      <w:r>
        <w:rPr>
          <w:rFonts w:ascii="Arial" w:cs="Arial" w:eastAsia="Arial" w:hAnsi="Arial"/>
          <w:sz w:val="19"/>
          <w:szCs w:val="19"/>
          <w:color w:val="auto"/>
        </w:rPr>
        <w:t xml:space="preserve"> Participants shall have the status of general unsecured creditors of the Company. Any amounts payable to Participants pursuant to the Plan shall be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A- 35</w:t>
      </w:r>
    </w:p>
    <w:p>
      <w:pPr>
        <w:sectPr>
          <w:pgSz w:w="11900" w:h="16838" w:orient="portrait"/>
          <w:cols w:equalWidth="0" w:num="1">
            <w:col w:w="11400"/>
          </w:cols>
          <w:pgMar w:left="240" w:top="591" w:right="259" w:bottom="1440" w:gutter="0" w:footer="0" w:header="0"/>
        </w:sectPr>
      </w:pPr>
    </w:p>
    <w:bookmarkStart w:id="69" w:name="page70"/>
    <w:bookmarkEnd w:id="69"/>
    <w:p>
      <w:pPr>
        <w:ind w:firstLine="1297"/>
        <w:spacing w:after="0" w:line="256" w:lineRule="auto"/>
        <w:rPr>
          <w:sz w:val="20"/>
          <w:szCs w:val="20"/>
          <w:color w:val="auto"/>
        </w:rPr>
      </w:pPr>
      <w:r>
        <w:rPr>
          <w:rFonts w:ascii="Arial" w:cs="Arial" w:eastAsia="Arial" w:hAnsi="Arial"/>
          <w:sz w:val="22"/>
          <w:szCs w:val="22"/>
          <w:color w:val="auto"/>
        </w:rPr>
        <w:t xml:space="preserve">17.13 </w:t>
      </w:r>
      <w:r>
        <w:rPr>
          <w:rFonts w:ascii="Arial" w:cs="Arial" w:eastAsia="Arial" w:hAnsi="Arial"/>
          <w:sz w:val="22"/>
          <w:szCs w:val="22"/>
          <w:b w:val="1"/>
          <w:bCs w:val="1"/>
          <w:color w:val="auto"/>
        </w:rPr>
        <w:t>Choice of Law.</w:t>
      </w:r>
      <w:r>
        <w:rPr>
          <w:rFonts w:ascii="Arial" w:cs="Arial" w:eastAsia="Arial" w:hAnsi="Arial"/>
          <w:sz w:val="22"/>
          <w:szCs w:val="22"/>
          <w:color w:val="auto"/>
        </w:rPr>
        <w:t xml:space="preserve"> Except to the extent governed by applicable federal law, the validity, interpretation, construction and performance of the Plan and each Award Agreement shall be governed by the laws of the State of Delaware, without regard to its conflict of law rules.</w:t>
      </w:r>
    </w:p>
    <w:p>
      <w:pPr>
        <w:spacing w:after="0" w:line="200" w:lineRule="exact"/>
        <w:rPr>
          <w:sz w:val="20"/>
          <w:szCs w:val="20"/>
          <w:color w:val="auto"/>
        </w:rPr>
      </w:pPr>
    </w:p>
    <w:p>
      <w:pPr>
        <w:spacing w:after="0" w:line="2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A- 36</w:t>
      </w:r>
    </w:p>
    <w:p>
      <w:pPr>
        <w:sectPr>
          <w:pgSz w:w="11900" w:h="16838" w:orient="portrait"/>
          <w:cols w:equalWidth="0" w:num="1">
            <w:col w:w="10860"/>
          </w:cols>
          <w:pgMar w:left="240" w:top="585" w:right="799" w:bottom="1440" w:gutter="0" w:footer="0" w:header="0"/>
        </w:sectPr>
      </w:pPr>
    </w:p>
    <w:bookmarkStart w:id="70" w:name="page71"/>
    <w:bookmarkEnd w:id="70"/>
    <w:p>
      <w:pPr>
        <w:ind w:left="10320"/>
        <w:spacing w:after="0"/>
        <w:rPr>
          <w:sz w:val="20"/>
          <w:szCs w:val="20"/>
          <w:color w:val="auto"/>
        </w:rPr>
      </w:pPr>
      <w:r>
        <w:rPr>
          <w:rFonts w:ascii="Arial" w:cs="Arial" w:eastAsia="Arial" w:hAnsi="Arial"/>
          <w:sz w:val="19"/>
          <w:szCs w:val="19"/>
          <w:b w:val="1"/>
          <w:bCs w:val="1"/>
          <w:u w:val="single" w:color="auto"/>
          <w:color w:val="auto"/>
        </w:rPr>
        <w:t>Appendix B</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GLOBALSTAR,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EMPLOYEE STOCK PURCHASE PLAN</w:t>
      </w:r>
    </w:p>
    <w:p>
      <w:pPr>
        <w:spacing w:after="0" w:line="200" w:lineRule="exact"/>
        <w:rPr>
          <w:sz w:val="20"/>
          <w:szCs w:val="20"/>
          <w:color w:val="auto"/>
        </w:rPr>
      </w:pPr>
    </w:p>
    <w:p>
      <w:pPr>
        <w:spacing w:after="0" w:line="299"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WHEREAS, in June 2011, Globalstar, Inc. (the “Company”) adopted the Globalstar, Inc. Employee Stock Purchase Plan (the “Original Plan”) to provide an opportunity for employees of the Company and certain of its subsidiaries to purchase common stock of the Company on a regular basis; and,</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WHEREAS, the Company now desires to amend and restate the Original Plan as set forth herein, such that the amended and restated plan shall be a new plan for purposes of Section 323 of the Code; and</w:t>
      </w:r>
    </w:p>
    <w:p>
      <w:pPr>
        <w:spacing w:after="0" w:line="215"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WHEREAS, the Company desires that the Plan include two components: (i) a Code Section 423 Component (the “Section 423 Component”), which the Company intends to qualify as an “employee stock purchase plan” under Code Section 423; and (ii) a non-Code Section 423 Component (the “Non-Section 423 Component”), which the Company does not intend to qualify as an “employee stock purchase plan” under Code Section 423.</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terms of the Plan shall be as follows:</w:t>
      </w:r>
    </w:p>
    <w:p>
      <w:pPr>
        <w:spacing w:after="0" w:line="254" w:lineRule="exact"/>
        <w:rPr>
          <w:sz w:val="20"/>
          <w:szCs w:val="20"/>
          <w:color w:val="auto"/>
        </w:rPr>
      </w:pPr>
    </w:p>
    <w:p>
      <w:pPr>
        <w:ind w:left="1460" w:hanging="804"/>
        <w:spacing w:after="0"/>
        <w:tabs>
          <w:tab w:leader="none" w:pos="1460"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Establishment and Purpose.</w:t>
      </w:r>
    </w:p>
    <w:p>
      <w:pPr>
        <w:spacing w:after="0" w:line="266" w:lineRule="exact"/>
        <w:rPr>
          <w:rFonts w:ascii="Arial" w:cs="Arial" w:eastAsia="Arial" w:hAnsi="Arial"/>
          <w:sz w:val="22"/>
          <w:szCs w:val="22"/>
          <w:color w:val="auto"/>
        </w:rPr>
      </w:pPr>
    </w:p>
    <w:p>
      <w:pPr>
        <w:ind w:left="880" w:firstLine="654"/>
        <w:spacing w:after="0" w:line="246" w:lineRule="auto"/>
        <w:tabs>
          <w:tab w:leader="none" w:pos="2173"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Establishment and Reestablishment</w:t>
      </w:r>
      <w:r>
        <w:rPr>
          <w:rFonts w:ascii="Arial" w:cs="Arial" w:eastAsia="Arial" w:hAnsi="Arial"/>
          <w:sz w:val="22"/>
          <w:szCs w:val="22"/>
          <w:color w:val="auto"/>
        </w:rPr>
        <w:t>. The Original Plan was approved and adopted by the Board of Directors and a majority of our stockholders and became effective in June 2011 (the “Original Plan Effective Date”). The Amended and Restated Globalstar, Inc. Employee Stock Purchase Plan (the “Amended and Restated Plan”) was approved and adopted by the Board of Directors on February 26, 2019 (the “Restatement Effective Date”) and will be approved by the stockholders of the Company on May 29, 2019 (the Original Plan and the Amended and Restated Plan shall be referred to collectively as the “Plan”). This Amended and Restated Plan is intended to be a new plan for purposes of Section 423 of the Code.</w:t>
      </w:r>
    </w:p>
    <w:p>
      <w:pPr>
        <w:spacing w:after="0" w:line="237" w:lineRule="exact"/>
        <w:rPr>
          <w:rFonts w:ascii="Arial" w:cs="Arial" w:eastAsia="Arial" w:hAnsi="Arial"/>
          <w:sz w:val="22"/>
          <w:szCs w:val="22"/>
          <w:color w:val="auto"/>
        </w:rPr>
      </w:pPr>
    </w:p>
    <w:p>
      <w:pPr>
        <w:ind w:left="880" w:right="280" w:firstLine="654"/>
        <w:spacing w:after="0" w:line="253" w:lineRule="auto"/>
        <w:tabs>
          <w:tab w:leader="none" w:pos="2185"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this Employee Stock Purchase Plan is to give Eligible Employees of the Company and Designated Subsidiaries an opportunity to acquire shares of Common Stock, and to continue to promote the Company’s best interests and enhance the Company’s long-term performance.</w:t>
      </w:r>
    </w:p>
    <w:p>
      <w:pPr>
        <w:spacing w:after="0" w:line="220" w:lineRule="exact"/>
        <w:rPr>
          <w:rFonts w:ascii="Arial" w:cs="Arial" w:eastAsia="Arial" w:hAnsi="Arial"/>
          <w:sz w:val="22"/>
          <w:szCs w:val="22"/>
          <w:color w:val="auto"/>
        </w:rPr>
      </w:pPr>
    </w:p>
    <w:p>
      <w:pPr>
        <w:ind w:left="1460" w:hanging="804"/>
        <w:spacing w:after="0"/>
        <w:tabs>
          <w:tab w:leader="none" w:pos="1460"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66"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Wherever used herein, the following words and phrases shall have the meanings stated below unless a different meaning is plainly required by the context:</w:t>
      </w:r>
    </w:p>
    <w:p>
      <w:pPr>
        <w:spacing w:after="0" w:line="215" w:lineRule="exact"/>
        <w:rPr>
          <w:sz w:val="20"/>
          <w:szCs w:val="20"/>
          <w:color w:val="auto"/>
        </w:rPr>
      </w:pPr>
    </w:p>
    <w:p>
      <w:pPr>
        <w:ind w:left="880" w:right="220" w:firstLine="654"/>
        <w:spacing w:after="0" w:line="263" w:lineRule="auto"/>
        <w:tabs>
          <w:tab w:leader="none" w:pos="2173" w:val="left"/>
        </w:tabs>
        <w:numPr>
          <w:ilvl w:val="0"/>
          <w:numId w:val="81"/>
        </w:numPr>
        <w:rPr>
          <w:rFonts w:ascii="Arial" w:cs="Arial" w:eastAsia="Arial" w:hAnsi="Arial"/>
          <w:sz w:val="22"/>
          <w:szCs w:val="22"/>
          <w:color w:val="auto"/>
        </w:rPr>
      </w:pPr>
      <w:r>
        <w:rPr>
          <w:rFonts w:ascii="Arial" w:cs="Arial" w:eastAsia="Arial" w:hAnsi="Arial"/>
          <w:sz w:val="22"/>
          <w:szCs w:val="22"/>
          <w:color w:val="auto"/>
        </w:rPr>
        <w:t>“Affiliate” means (i) a Subsidiary, as hereinafter defined, and (ii) any entity that, directly or indirectly, is controlled by the Company.</w:t>
      </w:r>
    </w:p>
    <w:p>
      <w:pPr>
        <w:spacing w:after="0" w:line="215" w:lineRule="exact"/>
        <w:rPr>
          <w:rFonts w:ascii="Arial" w:cs="Arial" w:eastAsia="Arial" w:hAnsi="Arial"/>
          <w:sz w:val="22"/>
          <w:szCs w:val="22"/>
          <w:color w:val="auto"/>
        </w:rPr>
      </w:pPr>
    </w:p>
    <w:p>
      <w:pPr>
        <w:ind w:left="2200" w:hanging="666"/>
        <w:spacing w:after="0"/>
        <w:tabs>
          <w:tab w:leader="none" w:pos="22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“Board” means the Board of Directors of the Company.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B- 1</w:t>
      </w:r>
    </w:p>
    <w:p>
      <w:pPr>
        <w:sectPr>
          <w:pgSz w:w="11900" w:h="16838" w:orient="portrait"/>
          <w:cols w:equalWidth="0" w:num="1">
            <w:col w:w="11420"/>
          </w:cols>
          <w:pgMar w:left="240" w:top="585" w:right="239" w:bottom="1440" w:gutter="0" w:footer="0" w:header="0"/>
        </w:sectPr>
      </w:pPr>
    </w:p>
    <w:bookmarkStart w:id="71" w:name="page72"/>
    <w:bookmarkEnd w:id="71"/>
    <w:p>
      <w:pPr>
        <w:ind w:left="-320" w:right="20" w:firstLine="654"/>
        <w:spacing w:after="0" w:line="343" w:lineRule="auto"/>
        <w:tabs>
          <w:tab w:leader="none" w:pos="973" w:val="left"/>
        </w:tabs>
        <w:numPr>
          <w:ilvl w:val="0"/>
          <w:numId w:val="82"/>
        </w:numPr>
        <w:rPr>
          <w:rFonts w:ascii="Arial" w:cs="Arial" w:eastAsia="Arial" w:hAnsi="Arial"/>
          <w:sz w:val="19"/>
          <w:szCs w:val="19"/>
          <w:color w:val="auto"/>
        </w:rPr>
      </w:pPr>
      <w:r>
        <w:rPr>
          <w:rFonts w:ascii="Arial" w:cs="Arial" w:eastAsia="Arial" w:hAnsi="Arial"/>
          <w:sz w:val="19"/>
          <w:szCs w:val="19"/>
          <w:color w:val="auto"/>
        </w:rPr>
        <w:t>“Broker” means the brokerage firm or firms designated by the Company to hold shares of Common Stock purchased by Participants through the Plan and to handle sales of shares of Common Stock for Participants.</w:t>
      </w:r>
    </w:p>
    <w:p>
      <w:pPr>
        <w:spacing w:after="0" w:line="145" w:lineRule="exact"/>
        <w:rPr>
          <w:rFonts w:ascii="Arial" w:cs="Arial" w:eastAsia="Arial" w:hAnsi="Arial"/>
          <w:sz w:val="19"/>
          <w:szCs w:val="19"/>
          <w:color w:val="auto"/>
        </w:rPr>
      </w:pPr>
    </w:p>
    <w:p>
      <w:pPr>
        <w:ind w:left="1000" w:hanging="666"/>
        <w:spacing w:after="0"/>
        <w:tabs>
          <w:tab w:leader="none" w:pos="10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“Broker Account” means the account established with the Broker for each Participant.</w:t>
      </w:r>
    </w:p>
    <w:p>
      <w:pPr>
        <w:spacing w:after="0" w:line="260" w:lineRule="exact"/>
        <w:rPr>
          <w:rFonts w:ascii="Arial" w:cs="Arial" w:eastAsia="Arial" w:hAnsi="Arial"/>
          <w:sz w:val="22"/>
          <w:szCs w:val="22"/>
          <w:color w:val="auto"/>
        </w:rPr>
      </w:pPr>
    </w:p>
    <w:p>
      <w:pPr>
        <w:ind w:left="980" w:hanging="646"/>
        <w:spacing w:after="0"/>
        <w:tabs>
          <w:tab w:leader="none" w:pos="9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“Code” means the U.S. Internal Revenue Code of 1986, as amended.</w:t>
      </w:r>
    </w:p>
    <w:p>
      <w:pPr>
        <w:spacing w:after="0" w:line="260" w:lineRule="exact"/>
        <w:rPr>
          <w:rFonts w:ascii="Arial" w:cs="Arial" w:eastAsia="Arial" w:hAnsi="Arial"/>
          <w:sz w:val="22"/>
          <w:szCs w:val="22"/>
          <w:color w:val="auto"/>
        </w:rPr>
      </w:pPr>
    </w:p>
    <w:p>
      <w:pPr>
        <w:ind w:left="960" w:hanging="626"/>
        <w:spacing w:after="0"/>
        <w:tabs>
          <w:tab w:leader="none" w:pos="9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“Common Stock” means shares of the voting common stock of the Company.</w:t>
      </w:r>
    </w:p>
    <w:p>
      <w:pPr>
        <w:spacing w:after="0" w:line="260" w:lineRule="exact"/>
        <w:rPr>
          <w:rFonts w:ascii="Arial" w:cs="Arial" w:eastAsia="Arial" w:hAnsi="Arial"/>
          <w:sz w:val="22"/>
          <w:szCs w:val="22"/>
          <w:color w:val="auto"/>
        </w:rPr>
      </w:pPr>
    </w:p>
    <w:p>
      <w:pPr>
        <w:ind w:left="1000" w:hanging="666"/>
        <w:spacing w:after="0"/>
        <w:tabs>
          <w:tab w:leader="none" w:pos="10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“Company” means Globalstar, Inc., a Delaware corporation.</w:t>
      </w:r>
    </w:p>
    <w:p>
      <w:pPr>
        <w:spacing w:after="0" w:line="260" w:lineRule="exact"/>
        <w:rPr>
          <w:rFonts w:ascii="Arial" w:cs="Arial" w:eastAsia="Arial" w:hAnsi="Arial"/>
          <w:sz w:val="22"/>
          <w:szCs w:val="22"/>
          <w:color w:val="auto"/>
        </w:rPr>
      </w:pPr>
    </w:p>
    <w:p>
      <w:pPr>
        <w:ind w:left="-320" w:right="20" w:firstLine="654"/>
        <w:spacing w:after="0" w:line="289" w:lineRule="auto"/>
        <w:tabs>
          <w:tab w:leader="none" w:pos="985" w:val="left"/>
        </w:tabs>
        <w:numPr>
          <w:ilvl w:val="0"/>
          <w:numId w:val="82"/>
        </w:numPr>
        <w:rPr>
          <w:rFonts w:ascii="Arial" w:cs="Arial" w:eastAsia="Arial" w:hAnsi="Arial"/>
          <w:sz w:val="19"/>
          <w:szCs w:val="19"/>
          <w:color w:val="auto"/>
        </w:rPr>
      </w:pPr>
      <w:r>
        <w:rPr>
          <w:rFonts w:ascii="Arial" w:cs="Arial" w:eastAsia="Arial" w:hAnsi="Arial"/>
          <w:sz w:val="19"/>
          <w:szCs w:val="19"/>
          <w:color w:val="auto"/>
        </w:rPr>
        <w:t>“Compensation” means the Eligible Employee’s gross earnings per pay period that are required to be reported in the Wages, Tips and Other Compensation box of Form W-2. Compensation includes bonuses, commissions, overtime pay, sick pay, vacation pay, shutdown pay and other extra compensation, unless the Eligible Employee notifies the Human Resources Department at least five business days in advance that a particular bonus shall not be included as Compensation. Compensation includes compensation excluded from taxable income in connection with a Code Section 125 cafeteria plan, Code Section 401(k) cash or deferred arrangement, or other elective deferral. Compensation excludes equity compensation, including compensation from awards of Common Stock and restricted stock, and from the exercise of stock options. The Plan Administrator shall have the discretion to determine what constitutes Compensation for Participants outside of the United States.</w:t>
      </w:r>
    </w:p>
    <w:p>
      <w:pPr>
        <w:spacing w:after="0" w:line="198" w:lineRule="exact"/>
        <w:rPr>
          <w:rFonts w:ascii="Arial" w:cs="Arial" w:eastAsia="Arial" w:hAnsi="Arial"/>
          <w:sz w:val="19"/>
          <w:szCs w:val="19"/>
          <w:color w:val="auto"/>
        </w:rPr>
      </w:pPr>
    </w:p>
    <w:p>
      <w:pPr>
        <w:jc w:val="both"/>
        <w:ind w:left="-320" w:firstLine="654"/>
        <w:spacing w:after="0" w:line="253" w:lineRule="auto"/>
        <w:tabs>
          <w:tab w:leader="none" w:pos="937" w:val="left"/>
        </w:tabs>
        <w:numPr>
          <w:ilvl w:val="0"/>
          <w:numId w:val="82"/>
        </w:numPr>
        <w:rPr>
          <w:rFonts w:ascii="Arial" w:cs="Arial" w:eastAsia="Arial" w:hAnsi="Arial"/>
          <w:sz w:val="22"/>
          <w:szCs w:val="22"/>
          <w:color w:val="auto"/>
        </w:rPr>
      </w:pPr>
      <w:r>
        <w:rPr>
          <w:rFonts w:ascii="Arial" w:cs="Arial" w:eastAsia="Arial" w:hAnsi="Arial"/>
          <w:sz w:val="22"/>
          <w:szCs w:val="22"/>
          <w:color w:val="auto"/>
        </w:rPr>
        <w:t>“Contributions” means the payroll deductions (to the extent permitted under applicable law) and any other contributions the Company may allow to be made by a Participant to fund the purchase of Common Stock under the Plan if payroll deductions are not permitted or advisable under applicable law.</w:t>
      </w:r>
    </w:p>
    <w:p>
      <w:pPr>
        <w:spacing w:after="0" w:line="226" w:lineRule="exact"/>
        <w:rPr>
          <w:rFonts w:ascii="Arial" w:cs="Arial" w:eastAsia="Arial" w:hAnsi="Arial"/>
          <w:sz w:val="22"/>
          <w:szCs w:val="22"/>
          <w:color w:val="auto"/>
        </w:rPr>
      </w:pPr>
    </w:p>
    <w:p>
      <w:pPr>
        <w:ind w:left="-320" w:right="860" w:firstLine="654"/>
        <w:spacing w:after="0" w:line="263" w:lineRule="auto"/>
        <w:tabs>
          <w:tab w:leader="none" w:pos="937" w:val="left"/>
        </w:tabs>
        <w:numPr>
          <w:ilvl w:val="0"/>
          <w:numId w:val="82"/>
        </w:numPr>
        <w:rPr>
          <w:rFonts w:ascii="Arial" w:cs="Arial" w:eastAsia="Arial" w:hAnsi="Arial"/>
          <w:sz w:val="22"/>
          <w:szCs w:val="22"/>
          <w:color w:val="auto"/>
        </w:rPr>
      </w:pPr>
      <w:r>
        <w:rPr>
          <w:rFonts w:ascii="Arial" w:cs="Arial" w:eastAsia="Arial" w:hAnsi="Arial"/>
          <w:sz w:val="22"/>
          <w:szCs w:val="22"/>
          <w:color w:val="auto"/>
        </w:rPr>
        <w:t>“Deposit Account” means the account maintained by the Company for each Participant to which Contributions are credited, as provided herein.</w:t>
      </w:r>
    </w:p>
    <w:p>
      <w:pPr>
        <w:spacing w:after="0" w:line="215" w:lineRule="exact"/>
        <w:rPr>
          <w:rFonts w:ascii="Arial" w:cs="Arial" w:eastAsia="Arial" w:hAnsi="Arial"/>
          <w:sz w:val="22"/>
          <w:szCs w:val="22"/>
          <w:color w:val="auto"/>
        </w:rPr>
      </w:pPr>
    </w:p>
    <w:p>
      <w:pPr>
        <w:ind w:left="-320" w:right="20" w:firstLine="654"/>
        <w:spacing w:after="0" w:line="246" w:lineRule="auto"/>
        <w:tabs>
          <w:tab w:leader="none" w:pos="985" w:val="left"/>
        </w:tabs>
        <w:numPr>
          <w:ilvl w:val="0"/>
          <w:numId w:val="82"/>
        </w:numPr>
        <w:rPr>
          <w:rFonts w:ascii="Arial" w:cs="Arial" w:eastAsia="Arial" w:hAnsi="Arial"/>
          <w:sz w:val="22"/>
          <w:szCs w:val="22"/>
          <w:color w:val="auto"/>
        </w:rPr>
      </w:pPr>
      <w:r>
        <w:rPr>
          <w:rFonts w:ascii="Arial" w:cs="Arial" w:eastAsia="Arial" w:hAnsi="Arial"/>
          <w:sz w:val="22"/>
          <w:szCs w:val="22"/>
          <w:color w:val="auto"/>
        </w:rPr>
        <w:t>“Designated Companies” means any Subsidiary or Affiliate designated by the Plan Administrator from time-to-time, in the Plan Administrator’s sole discretion, whose employees may participate in the Plan if such employees otherwise qualify as Eligible Employees. For purposes of the Section 423 Component, only Subsidiaries may be Designated Companies, provided, however, that at any given time, a Subsidiary that is a Designated Company under the Section 423 Component shall not be a Designated Company under the Non-Section 423 Component. The Plan Administrator may provide that any Designated Company shall only be eligible to participate in the Non-Section 423 Component.</w:t>
      </w:r>
    </w:p>
    <w:p>
      <w:pPr>
        <w:spacing w:after="0" w:line="226" w:lineRule="exact"/>
        <w:rPr>
          <w:rFonts w:ascii="Arial" w:cs="Arial" w:eastAsia="Arial" w:hAnsi="Arial"/>
          <w:sz w:val="22"/>
          <w:szCs w:val="22"/>
          <w:color w:val="auto"/>
        </w:rPr>
      </w:pPr>
    </w:p>
    <w:p>
      <w:pPr>
        <w:ind w:left="-320" w:firstLine="654"/>
        <w:spacing w:after="0" w:line="279" w:lineRule="auto"/>
        <w:tabs>
          <w:tab w:leader="none" w:pos="937" w:val="left"/>
        </w:tabs>
        <w:numPr>
          <w:ilvl w:val="0"/>
          <w:numId w:val="82"/>
        </w:numPr>
        <w:rPr>
          <w:rFonts w:ascii="Arial" w:cs="Arial" w:eastAsia="Arial" w:hAnsi="Arial"/>
          <w:sz w:val="19"/>
          <w:szCs w:val="19"/>
          <w:color w:val="auto"/>
        </w:rPr>
      </w:pPr>
      <w:r>
        <w:rPr>
          <w:rFonts w:ascii="Arial" w:cs="Arial" w:eastAsia="Arial" w:hAnsi="Arial"/>
          <w:sz w:val="19"/>
          <w:szCs w:val="19"/>
          <w:color w:val="auto"/>
        </w:rPr>
        <w:t>“Effective Date” means the 20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calendar day following the date that either (i), after having received notice as provided by law of the Board’s recommendation of the Plan to the holders of the Common Stock, a majority of the</w:t>
      </w:r>
    </w:p>
    <w:p>
      <w:pPr>
        <w:spacing w:after="0" w:line="17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B- 2</w:t>
      </w:r>
    </w:p>
    <w:p>
      <w:pPr>
        <w:sectPr>
          <w:pgSz w:w="11900" w:h="16838" w:orient="portrait"/>
          <w:cols w:equalWidth="0" w:num="1">
            <w:col w:w="10160"/>
          </w:cols>
          <w:pgMar w:left="1440" w:top="591" w:right="299" w:bottom="1440" w:gutter="0" w:footer="0" w:header="0"/>
        </w:sectPr>
      </w:pPr>
    </w:p>
    <w:bookmarkStart w:id="72" w:name="page73"/>
    <w:bookmarkEnd w:id="72"/>
    <w:p>
      <w:pPr>
        <w:spacing w:after="0" w:line="259" w:lineRule="exact"/>
        <w:rPr>
          <w:sz w:val="20"/>
          <w:szCs w:val="20"/>
          <w:color w:val="auto"/>
        </w:rPr>
      </w:pPr>
      <w:r>
        <w:rPr>
          <w:rFonts w:ascii="Arial" w:cs="Arial" w:eastAsia="Arial" w:hAnsi="Arial"/>
          <w:sz w:val="19"/>
          <w:szCs w:val="19"/>
          <w:color w:val="auto"/>
        </w:rPr>
        <w:t xml:space="preserve">Common Stock has been voted to approve the Plan, or (ii) if a majority of the Common Stock has been voted to approve the Plan in advance of such notice, notice of such vote approving the Plan is subsequently given to the holders of the Common Stock in the manner provided by law; </w:t>
      </w:r>
      <w:r>
        <w:rPr>
          <w:rFonts w:ascii="Arial" w:cs="Arial" w:eastAsia="Arial" w:hAnsi="Arial"/>
          <w:sz w:val="19"/>
          <w:szCs w:val="19"/>
          <w:i w:val="1"/>
          <w:iCs w:val="1"/>
          <w:color w:val="auto"/>
        </w:rPr>
        <w:t>provided, however</w:t>
      </w:r>
      <w:r>
        <w:rPr>
          <w:rFonts w:ascii="Arial" w:cs="Arial" w:eastAsia="Arial" w:hAnsi="Arial"/>
          <w:sz w:val="19"/>
          <w:szCs w:val="19"/>
          <w:color w:val="auto"/>
        </w:rPr>
        <w:t>, that on or before such Effective Date, sufficient shares of Common Stock, as determined from time to time by the Plan Administrator, necessary to administer the Plan for at least two years following the Effective Date have been registered with the Securities and Exchange Commission on Form S</w:t>
      </w:r>
      <w:r>
        <w:rPr>
          <w:rFonts w:ascii="MS PGothic" w:cs="MS PGothic" w:eastAsia="MS PGothic" w:hAnsi="MS PGothic"/>
          <w:sz w:val="19"/>
          <w:szCs w:val="19"/>
          <w:color w:val="auto"/>
        </w:rPr>
        <w:t>‑</w:t>
      </w:r>
      <w:r>
        <w:rPr>
          <w:rFonts w:ascii="Arial" w:cs="Arial" w:eastAsia="Arial" w:hAnsi="Arial"/>
          <w:sz w:val="19"/>
          <w:szCs w:val="19"/>
          <w:color w:val="auto"/>
        </w:rPr>
        <w:t>8. The aggregate number of shares of Common Stock thus determined by the Plan Administrator shall not exceed the number authorized under Section 4, as may be adjusted pursuant to Section 13.</w:t>
      </w:r>
    </w:p>
    <w:p>
      <w:pPr>
        <w:spacing w:after="0" w:line="243" w:lineRule="exact"/>
        <w:rPr>
          <w:sz w:val="20"/>
          <w:szCs w:val="20"/>
          <w:color w:val="auto"/>
        </w:rPr>
      </w:pPr>
    </w:p>
    <w:p>
      <w:pPr>
        <w:ind w:right="40" w:firstLine="654"/>
        <w:spacing w:after="0" w:line="259" w:lineRule="auto"/>
        <w:tabs>
          <w:tab w:leader="none" w:pos="1365" w:val="left"/>
        </w:tabs>
        <w:numPr>
          <w:ilvl w:val="0"/>
          <w:numId w:val="83"/>
        </w:numPr>
        <w:rPr>
          <w:rFonts w:ascii="Arial" w:cs="Arial" w:eastAsia="Arial" w:hAnsi="Arial"/>
          <w:sz w:val="21"/>
          <w:szCs w:val="21"/>
          <w:color w:val="auto"/>
        </w:rPr>
      </w:pPr>
      <w:r>
        <w:rPr>
          <w:rFonts w:ascii="Arial" w:cs="Arial" w:eastAsia="Arial" w:hAnsi="Arial"/>
          <w:sz w:val="21"/>
          <w:szCs w:val="21"/>
          <w:color w:val="auto"/>
        </w:rPr>
        <w:t>“Eligible Employee” means, except as otherwise provided below, (a) a person who is employed by the Company or a Designated Company on the Effective Date and whose terms of employment include working for more than twenty (20) hours per week and are expected to include working for more than five (5) months in any calendar year; and (b) a person who becomes employed by the Company or a Designated Company after the Effective Date, who has remained employed for a period of six (6) or more consecutive months after hiring and whose required and expected terms of employment are at least equal to the minimum terms required for a person who was employed on the Effective Date. For purposes of this definition, the term “month” refers to any period of consecutive days that is comprised of an entire calendar month, or any period that begins on a specific numerical day in a calendar month and ends on the preceding numerical day in the following calendar month.</w:t>
      </w:r>
    </w:p>
    <w:p>
      <w:pPr>
        <w:spacing w:after="0" w:line="220" w:lineRule="exact"/>
        <w:rPr>
          <w:rFonts w:ascii="Arial" w:cs="Arial" w:eastAsia="Arial" w:hAnsi="Arial"/>
          <w:sz w:val="21"/>
          <w:szCs w:val="21"/>
          <w:color w:val="auto"/>
        </w:rPr>
      </w:pPr>
    </w:p>
    <w:p>
      <w:pPr>
        <w:ind w:left="1320" w:hanging="666"/>
        <w:spacing w:after="0"/>
        <w:tabs>
          <w:tab w:leader="none" w:pos="13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“Exercise Date” means the day before the next Grant Date.</w:t>
      </w:r>
    </w:p>
    <w:p>
      <w:pPr>
        <w:spacing w:after="0" w:line="260" w:lineRule="exact"/>
        <w:rPr>
          <w:rFonts w:ascii="Arial" w:cs="Arial" w:eastAsia="Arial" w:hAnsi="Arial"/>
          <w:sz w:val="22"/>
          <w:szCs w:val="22"/>
          <w:color w:val="auto"/>
        </w:rPr>
      </w:pPr>
    </w:p>
    <w:p>
      <w:pPr>
        <w:ind w:left="1320" w:hanging="666"/>
        <w:spacing w:after="0"/>
        <w:tabs>
          <w:tab w:leader="none" w:pos="1320" w:val="left"/>
        </w:tabs>
        <w:numPr>
          <w:ilvl w:val="0"/>
          <w:numId w:val="83"/>
        </w:numPr>
        <w:rPr>
          <w:rFonts w:ascii="Arial" w:cs="Arial" w:eastAsia="Arial" w:hAnsi="Arial"/>
          <w:sz w:val="21"/>
          <w:szCs w:val="21"/>
          <w:color w:val="auto"/>
        </w:rPr>
      </w:pPr>
      <w:r>
        <w:rPr>
          <w:rFonts w:ascii="Arial" w:cs="Arial" w:eastAsia="Arial" w:hAnsi="Arial"/>
          <w:sz w:val="21"/>
          <w:szCs w:val="21"/>
          <w:color w:val="auto"/>
        </w:rPr>
        <w:t>“Fair Market Value per share of Common Stock as of the applicable Exercise Date” shall mean:</w:t>
      </w:r>
    </w:p>
    <w:p>
      <w:pPr>
        <w:spacing w:after="0" w:line="271" w:lineRule="exact"/>
        <w:rPr>
          <w:rFonts w:ascii="Arial" w:cs="Arial" w:eastAsia="Arial" w:hAnsi="Arial"/>
          <w:sz w:val="21"/>
          <w:szCs w:val="21"/>
          <w:color w:val="auto"/>
        </w:rPr>
      </w:pPr>
    </w:p>
    <w:p>
      <w:pPr>
        <w:ind w:left="420" w:right="20" w:firstLine="653"/>
        <w:spacing w:after="0" w:line="302" w:lineRule="auto"/>
        <w:tabs>
          <w:tab w:leader="none" w:pos="1488" w:val="left"/>
        </w:tabs>
        <w:numPr>
          <w:ilvl w:val="1"/>
          <w:numId w:val="83"/>
        </w:numPr>
        <w:rPr>
          <w:rFonts w:ascii="Arial" w:cs="Arial" w:eastAsia="Arial" w:hAnsi="Arial"/>
          <w:sz w:val="19"/>
          <w:szCs w:val="19"/>
          <w:color w:val="auto"/>
        </w:rPr>
      </w:pPr>
      <w:r>
        <w:rPr>
          <w:rFonts w:ascii="Arial" w:cs="Arial" w:eastAsia="Arial" w:hAnsi="Arial"/>
          <w:sz w:val="19"/>
          <w:szCs w:val="19"/>
          <w:color w:val="auto"/>
        </w:rPr>
        <w:t xml:space="preserve">If the Common Stock is listed on a national securities exchange or traded in the over-the-counter market and sales prices are regularly reported for the Common Stock, the closing sale price of the Common Stock on the Exercise Date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or such other source as the Plan Administrator deems reliable, or in the event that the Common Stock is not traded on such date, on the immediately preceding trading date;</w:t>
      </w:r>
    </w:p>
    <w:p>
      <w:pPr>
        <w:spacing w:after="0" w:line="142" w:lineRule="exact"/>
        <w:rPr>
          <w:rFonts w:ascii="Arial" w:cs="Arial" w:eastAsia="Arial" w:hAnsi="Arial"/>
          <w:sz w:val="19"/>
          <w:szCs w:val="19"/>
          <w:color w:val="auto"/>
        </w:rPr>
      </w:pPr>
    </w:p>
    <w:p>
      <w:pPr>
        <w:ind w:left="420" w:right="100" w:firstLine="653"/>
        <w:spacing w:after="0" w:line="248" w:lineRule="auto"/>
        <w:tabs>
          <w:tab w:leader="none" w:pos="1548" w:val="left"/>
        </w:tabs>
        <w:numPr>
          <w:ilvl w:val="1"/>
          <w:numId w:val="83"/>
        </w:numPr>
        <w:rPr>
          <w:rFonts w:ascii="Arial" w:cs="Arial" w:eastAsia="Arial" w:hAnsi="Arial"/>
          <w:sz w:val="22"/>
          <w:szCs w:val="22"/>
          <w:color w:val="auto"/>
        </w:rPr>
      </w:pPr>
      <w:r>
        <w:rPr>
          <w:rFonts w:ascii="Arial" w:cs="Arial" w:eastAsia="Arial" w:hAnsi="Arial"/>
          <w:sz w:val="22"/>
          <w:szCs w:val="22"/>
          <w:color w:val="auto"/>
        </w:rPr>
        <w:t>If the Common Stock is not traded on a national securities exchange but is traded on the over-the-counter market, if sales prices are not regularly reported for the Common Stock and if bid and asked prices for the Common Stock are regularly reported, the mean of the closing bid and asked prices for the Common Stock on the Exercise Date, or in the event that bid and asked prices are not reported on such date, on the immediately preceding date on which they are reported; and</w:t>
      </w:r>
    </w:p>
    <w:p>
      <w:pPr>
        <w:spacing w:after="0" w:line="192" w:lineRule="exact"/>
        <w:rPr>
          <w:rFonts w:ascii="Arial" w:cs="Arial" w:eastAsia="Arial" w:hAnsi="Arial"/>
          <w:sz w:val="22"/>
          <w:szCs w:val="22"/>
          <w:color w:val="auto"/>
        </w:rPr>
      </w:pPr>
    </w:p>
    <w:p>
      <w:pPr>
        <w:ind w:left="420" w:right="400" w:firstLine="653"/>
        <w:spacing w:after="0" w:line="263" w:lineRule="auto"/>
        <w:tabs>
          <w:tab w:leader="none" w:pos="1608" w:val="left"/>
        </w:tabs>
        <w:numPr>
          <w:ilvl w:val="1"/>
          <w:numId w:val="83"/>
        </w:numPr>
        <w:rPr>
          <w:rFonts w:ascii="Arial" w:cs="Arial" w:eastAsia="Arial" w:hAnsi="Arial"/>
          <w:sz w:val="22"/>
          <w:szCs w:val="22"/>
          <w:color w:val="auto"/>
        </w:rPr>
      </w:pPr>
      <w:r>
        <w:rPr>
          <w:rFonts w:ascii="Arial" w:cs="Arial" w:eastAsia="Arial" w:hAnsi="Arial"/>
          <w:sz w:val="22"/>
          <w:szCs w:val="22"/>
          <w:color w:val="auto"/>
        </w:rPr>
        <w:t>If the Common Stock is neither listed on a national securities exchange nor traded on the over-the-counter market, such value as the Plan Administrator, in good faith, shall determine.</w:t>
      </w:r>
    </w:p>
    <w:p>
      <w:pPr>
        <w:spacing w:after="0" w:line="200" w:lineRule="exact"/>
        <w:rPr>
          <w:sz w:val="20"/>
          <w:szCs w:val="20"/>
          <w:color w:val="auto"/>
        </w:rPr>
      </w:pPr>
    </w:p>
    <w:p>
      <w:pPr>
        <w:spacing w:after="0" w:line="21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B- 3</w:t>
      </w:r>
    </w:p>
    <w:p>
      <w:pPr>
        <w:sectPr>
          <w:pgSz w:w="11900" w:h="16838" w:orient="portrait"/>
          <w:cols w:equalWidth="0" w:num="1">
            <w:col w:w="10520"/>
          </w:cols>
          <w:pgMar w:left="1120" w:top="591" w:right="259" w:bottom="1440" w:gutter="0" w:footer="0" w:header="0"/>
        </w:sectPr>
      </w:pPr>
    </w:p>
    <w:bookmarkStart w:id="73" w:name="page74"/>
    <w:bookmarkEnd w:id="73"/>
    <w:p>
      <w:pPr>
        <w:jc w:val="both"/>
        <w:ind w:left="100" w:right="20"/>
        <w:spacing w:after="0" w:line="343" w:lineRule="auto"/>
        <w:rPr>
          <w:sz w:val="20"/>
          <w:szCs w:val="20"/>
          <w:color w:val="auto"/>
        </w:rPr>
      </w:pPr>
      <w:r>
        <w:rPr>
          <w:rFonts w:ascii="Arial" w:cs="Arial" w:eastAsia="Arial" w:hAnsi="Arial"/>
          <w:sz w:val="19"/>
          <w:szCs w:val="19"/>
          <w:color w:val="auto"/>
        </w:rPr>
        <w:t>Notwithstanding any provision of the Plan to the contrary, no determination made with respect to the Fair Market Value of Common Stock subject to an Option shall be inconsistent with Code Section 423 or regulations thereunder.</w:t>
      </w:r>
    </w:p>
    <w:p>
      <w:pPr>
        <w:spacing w:after="0" w:line="145" w:lineRule="exact"/>
        <w:rPr>
          <w:sz w:val="20"/>
          <w:szCs w:val="20"/>
          <w:color w:val="auto"/>
        </w:rPr>
      </w:pPr>
    </w:p>
    <w:p>
      <w:pPr>
        <w:ind w:left="-320" w:right="420" w:firstLine="654"/>
        <w:spacing w:after="0" w:line="253" w:lineRule="auto"/>
        <w:tabs>
          <w:tab w:leader="none" w:pos="985" w:val="left"/>
        </w:tabs>
        <w:numPr>
          <w:ilvl w:val="0"/>
          <w:numId w:val="84"/>
        </w:numPr>
        <w:rPr>
          <w:rFonts w:ascii="Arial" w:cs="Arial" w:eastAsia="Arial" w:hAnsi="Arial"/>
          <w:sz w:val="22"/>
          <w:szCs w:val="22"/>
          <w:color w:val="auto"/>
        </w:rPr>
      </w:pPr>
      <w:r>
        <w:rPr>
          <w:rFonts w:ascii="Arial" w:cs="Arial" w:eastAsia="Arial" w:hAnsi="Arial"/>
          <w:sz w:val="22"/>
          <w:szCs w:val="22"/>
          <w:color w:val="auto"/>
        </w:rPr>
        <w:t>“Grant Date” means each June 15 and December 15 (unless otherwise established by the Plan Administrator), and with respect to an Eligible Employee who becomes a Participant between such dates, the date on which participation commences.</w:t>
      </w:r>
    </w:p>
    <w:p>
      <w:pPr>
        <w:spacing w:after="0" w:line="226" w:lineRule="exact"/>
        <w:rPr>
          <w:rFonts w:ascii="Arial" w:cs="Arial" w:eastAsia="Arial" w:hAnsi="Arial"/>
          <w:sz w:val="22"/>
          <w:szCs w:val="22"/>
          <w:color w:val="auto"/>
        </w:rPr>
      </w:pPr>
    </w:p>
    <w:p>
      <w:pPr>
        <w:ind w:left="-320" w:right="40" w:firstLine="654"/>
        <w:spacing w:after="0" w:line="253" w:lineRule="auto"/>
        <w:tabs>
          <w:tab w:leader="none" w:pos="985" w:val="left"/>
        </w:tabs>
        <w:numPr>
          <w:ilvl w:val="0"/>
          <w:numId w:val="84"/>
        </w:numPr>
        <w:rPr>
          <w:rFonts w:ascii="Arial" w:cs="Arial" w:eastAsia="Arial" w:hAnsi="Arial"/>
          <w:sz w:val="22"/>
          <w:szCs w:val="22"/>
          <w:color w:val="auto"/>
        </w:rPr>
      </w:pPr>
      <w:r>
        <w:rPr>
          <w:rFonts w:ascii="Arial" w:cs="Arial" w:eastAsia="Arial" w:hAnsi="Arial"/>
          <w:sz w:val="22"/>
          <w:szCs w:val="22"/>
          <w:color w:val="auto"/>
        </w:rPr>
        <w:t>“Human Resources Department” means such person or persons who shall have been designated from time to time by Company management to administer employment policies and benefits on behalf of the Company as between the Company and its employees.</w:t>
      </w:r>
    </w:p>
    <w:p>
      <w:pPr>
        <w:spacing w:after="0" w:line="226" w:lineRule="exact"/>
        <w:rPr>
          <w:rFonts w:ascii="Arial" w:cs="Arial" w:eastAsia="Arial" w:hAnsi="Arial"/>
          <w:sz w:val="22"/>
          <w:szCs w:val="22"/>
          <w:color w:val="auto"/>
        </w:rPr>
      </w:pPr>
    </w:p>
    <w:p>
      <w:pPr>
        <w:ind w:left="-320" w:right="240" w:firstLine="654"/>
        <w:spacing w:after="0" w:line="253" w:lineRule="auto"/>
        <w:tabs>
          <w:tab w:leader="none" w:pos="949" w:val="left"/>
        </w:tabs>
        <w:numPr>
          <w:ilvl w:val="0"/>
          <w:numId w:val="84"/>
        </w:numPr>
        <w:rPr>
          <w:rFonts w:ascii="Arial" w:cs="Arial" w:eastAsia="Arial" w:hAnsi="Arial"/>
          <w:sz w:val="22"/>
          <w:szCs w:val="22"/>
          <w:color w:val="auto"/>
        </w:rPr>
      </w:pPr>
      <w:r>
        <w:rPr>
          <w:rFonts w:ascii="Arial" w:cs="Arial" w:eastAsia="Arial" w:hAnsi="Arial"/>
          <w:sz w:val="22"/>
          <w:szCs w:val="22"/>
          <w:color w:val="auto"/>
        </w:rPr>
        <w:t>“Non-Section 423 Component” means an employee stock purchase plan adopted by the Plan Administrator as part of this Plan, which is not intended to meet the requirements set forth in Code Section 423 and the regulations thereunder.</w:t>
      </w:r>
    </w:p>
    <w:p>
      <w:pPr>
        <w:spacing w:after="0" w:line="226" w:lineRule="exact"/>
        <w:rPr>
          <w:rFonts w:ascii="Arial" w:cs="Arial" w:eastAsia="Arial" w:hAnsi="Arial"/>
          <w:sz w:val="22"/>
          <w:szCs w:val="22"/>
          <w:color w:val="auto"/>
        </w:rPr>
      </w:pPr>
    </w:p>
    <w:p>
      <w:pPr>
        <w:ind w:left="-320" w:firstLine="654"/>
        <w:spacing w:after="0" w:line="263" w:lineRule="auto"/>
        <w:tabs>
          <w:tab w:leader="none" w:pos="961" w:val="left"/>
        </w:tabs>
        <w:numPr>
          <w:ilvl w:val="0"/>
          <w:numId w:val="84"/>
        </w:numPr>
        <w:rPr>
          <w:rFonts w:ascii="Arial" w:cs="Arial" w:eastAsia="Arial" w:hAnsi="Arial"/>
          <w:sz w:val="22"/>
          <w:szCs w:val="22"/>
          <w:color w:val="auto"/>
        </w:rPr>
      </w:pPr>
      <w:r>
        <w:rPr>
          <w:rFonts w:ascii="Arial" w:cs="Arial" w:eastAsia="Arial" w:hAnsi="Arial"/>
          <w:sz w:val="22"/>
          <w:szCs w:val="22"/>
          <w:color w:val="auto"/>
        </w:rPr>
        <w:t>“Option” means an option granted hereunder which will entitle an Eligible Employee to purchase shares of Common Stock.</w:t>
      </w:r>
    </w:p>
    <w:p>
      <w:pPr>
        <w:spacing w:after="0" w:line="215" w:lineRule="exact"/>
        <w:rPr>
          <w:rFonts w:ascii="Arial" w:cs="Arial" w:eastAsia="Arial" w:hAnsi="Arial"/>
          <w:sz w:val="22"/>
          <w:szCs w:val="22"/>
          <w:color w:val="auto"/>
        </w:rPr>
      </w:pPr>
    </w:p>
    <w:p>
      <w:pPr>
        <w:ind w:left="-320" w:right="80" w:firstLine="654"/>
        <w:spacing w:after="0" w:line="253" w:lineRule="auto"/>
        <w:tabs>
          <w:tab w:leader="none" w:pos="937" w:val="left"/>
        </w:tabs>
        <w:numPr>
          <w:ilvl w:val="0"/>
          <w:numId w:val="84"/>
        </w:numPr>
        <w:rPr>
          <w:rFonts w:ascii="Arial" w:cs="Arial" w:eastAsia="Arial" w:hAnsi="Arial"/>
          <w:sz w:val="22"/>
          <w:szCs w:val="22"/>
          <w:color w:val="auto"/>
        </w:rPr>
      </w:pPr>
      <w:r>
        <w:rPr>
          <w:rFonts w:ascii="Arial" w:cs="Arial" w:eastAsia="Arial" w:hAnsi="Arial"/>
          <w:sz w:val="22"/>
          <w:szCs w:val="22"/>
          <w:color w:val="auto"/>
        </w:rPr>
        <w:t>“Option Price” means 85% of the lesser of: (i) the Fair Market Value per share of Common Stock as of the applicable Exercise Date or (ii) the Fair Market Value per share of Common Stock as of the Grant Date on which such Option was granted.</w:t>
      </w:r>
    </w:p>
    <w:p>
      <w:pPr>
        <w:spacing w:after="0" w:line="226" w:lineRule="exact"/>
        <w:rPr>
          <w:rFonts w:ascii="Arial" w:cs="Arial" w:eastAsia="Arial" w:hAnsi="Arial"/>
          <w:sz w:val="22"/>
          <w:szCs w:val="22"/>
          <w:color w:val="auto"/>
        </w:rPr>
      </w:pPr>
    </w:p>
    <w:p>
      <w:pPr>
        <w:ind w:left="-320" w:right="40" w:firstLine="654"/>
        <w:spacing w:after="0" w:line="263" w:lineRule="auto"/>
        <w:tabs>
          <w:tab w:leader="none" w:pos="985" w:val="left"/>
        </w:tabs>
        <w:numPr>
          <w:ilvl w:val="0"/>
          <w:numId w:val="84"/>
        </w:numPr>
        <w:rPr>
          <w:rFonts w:ascii="Arial" w:cs="Arial" w:eastAsia="Arial" w:hAnsi="Arial"/>
          <w:sz w:val="22"/>
          <w:szCs w:val="22"/>
          <w:color w:val="auto"/>
        </w:rPr>
      </w:pPr>
      <w:r>
        <w:rPr>
          <w:rFonts w:ascii="Arial" w:cs="Arial" w:eastAsia="Arial" w:hAnsi="Arial"/>
          <w:sz w:val="22"/>
          <w:szCs w:val="22"/>
          <w:color w:val="auto"/>
        </w:rPr>
        <w:t>“Participant” means an Eligible Employee who files the required participation forms with the Company as specified in Section 6.</w:t>
      </w:r>
    </w:p>
    <w:p>
      <w:pPr>
        <w:spacing w:after="0" w:line="215" w:lineRule="exact"/>
        <w:rPr>
          <w:rFonts w:ascii="Arial" w:cs="Arial" w:eastAsia="Arial" w:hAnsi="Arial"/>
          <w:sz w:val="22"/>
          <w:szCs w:val="22"/>
          <w:color w:val="auto"/>
        </w:rPr>
      </w:pPr>
    </w:p>
    <w:p>
      <w:pPr>
        <w:ind w:left="-320" w:right="260" w:firstLine="654"/>
        <w:spacing w:after="0" w:line="263" w:lineRule="auto"/>
        <w:tabs>
          <w:tab w:leader="none" w:pos="985" w:val="left"/>
        </w:tabs>
        <w:numPr>
          <w:ilvl w:val="0"/>
          <w:numId w:val="84"/>
        </w:numPr>
        <w:rPr>
          <w:rFonts w:ascii="Arial" w:cs="Arial" w:eastAsia="Arial" w:hAnsi="Arial"/>
          <w:sz w:val="22"/>
          <w:szCs w:val="22"/>
          <w:color w:val="auto"/>
        </w:rPr>
      </w:pPr>
      <w:r>
        <w:rPr>
          <w:rFonts w:ascii="Arial" w:cs="Arial" w:eastAsia="Arial" w:hAnsi="Arial"/>
          <w:sz w:val="22"/>
          <w:szCs w:val="22"/>
          <w:color w:val="auto"/>
        </w:rPr>
        <w:t>“Plan” means the Globalstar, Inc. Employee Stock Purchase Plan set forth herein, as it may be amended from time-to-time.</w:t>
      </w:r>
    </w:p>
    <w:p>
      <w:pPr>
        <w:spacing w:after="0" w:line="215" w:lineRule="exact"/>
        <w:rPr>
          <w:rFonts w:ascii="Arial" w:cs="Arial" w:eastAsia="Arial" w:hAnsi="Arial"/>
          <w:sz w:val="22"/>
          <w:szCs w:val="22"/>
          <w:color w:val="auto"/>
        </w:rPr>
      </w:pPr>
    </w:p>
    <w:p>
      <w:pPr>
        <w:jc w:val="both"/>
        <w:ind w:left="-320" w:right="20" w:firstLine="654"/>
        <w:spacing w:after="0" w:line="312" w:lineRule="auto"/>
        <w:tabs>
          <w:tab w:leader="none" w:pos="1033" w:val="left"/>
        </w:tabs>
        <w:numPr>
          <w:ilvl w:val="0"/>
          <w:numId w:val="84"/>
        </w:numPr>
        <w:rPr>
          <w:rFonts w:ascii="Arial" w:cs="Arial" w:eastAsia="Arial" w:hAnsi="Arial"/>
          <w:sz w:val="19"/>
          <w:szCs w:val="19"/>
          <w:color w:val="auto"/>
        </w:rPr>
      </w:pPr>
      <w:r>
        <w:rPr>
          <w:rFonts w:ascii="Arial" w:cs="Arial" w:eastAsia="Arial" w:hAnsi="Arial"/>
          <w:sz w:val="19"/>
          <w:szCs w:val="19"/>
          <w:color w:val="auto"/>
        </w:rPr>
        <w:t>“Plan Administrator” means, until the Board shall otherwise provide, the Compensation Committee of the Board, or an officer of the Company, or other committee composed of officers of the Company, to whom the Board or the said Compensation Committee has further delegated its powers with respect to administration of the Plan.</w:t>
      </w:r>
    </w:p>
    <w:p>
      <w:pPr>
        <w:spacing w:after="0" w:line="174" w:lineRule="exact"/>
        <w:rPr>
          <w:rFonts w:ascii="Arial" w:cs="Arial" w:eastAsia="Arial" w:hAnsi="Arial"/>
          <w:sz w:val="19"/>
          <w:szCs w:val="19"/>
          <w:color w:val="auto"/>
        </w:rPr>
      </w:pPr>
    </w:p>
    <w:p>
      <w:pPr>
        <w:ind w:left="-320" w:right="240" w:firstLine="654"/>
        <w:spacing w:after="0" w:line="253" w:lineRule="auto"/>
        <w:tabs>
          <w:tab w:leader="none" w:pos="985" w:val="left"/>
        </w:tabs>
        <w:numPr>
          <w:ilvl w:val="0"/>
          <w:numId w:val="84"/>
        </w:numPr>
        <w:rPr>
          <w:rFonts w:ascii="Arial" w:cs="Arial" w:eastAsia="Arial" w:hAnsi="Arial"/>
          <w:sz w:val="22"/>
          <w:szCs w:val="22"/>
          <w:color w:val="auto"/>
        </w:rPr>
      </w:pPr>
      <w:r>
        <w:rPr>
          <w:rFonts w:ascii="Arial" w:cs="Arial" w:eastAsia="Arial" w:hAnsi="Arial"/>
          <w:sz w:val="22"/>
          <w:szCs w:val="22"/>
          <w:color w:val="auto"/>
        </w:rPr>
        <w:t>“Section 423 Component” means the part of the Plan, which excludes the Non-Section 423 Component, pursuant to which Options that satisfy the requirements for “employee stock purchase plans” set forth in Code Section 423 and the regulations thereunder may be granted to Eligible Employees.</w:t>
      </w:r>
    </w:p>
    <w:p>
      <w:pPr>
        <w:spacing w:after="0" w:line="226" w:lineRule="exact"/>
        <w:rPr>
          <w:rFonts w:ascii="Arial" w:cs="Arial" w:eastAsia="Arial" w:hAnsi="Arial"/>
          <w:sz w:val="22"/>
          <w:szCs w:val="22"/>
          <w:color w:val="auto"/>
        </w:rPr>
      </w:pPr>
    </w:p>
    <w:p>
      <w:pPr>
        <w:ind w:left="-320" w:right="160" w:firstLine="654"/>
        <w:spacing w:after="0" w:line="250" w:lineRule="auto"/>
        <w:tabs>
          <w:tab w:leader="none" w:pos="985" w:val="left"/>
        </w:tabs>
        <w:numPr>
          <w:ilvl w:val="0"/>
          <w:numId w:val="84"/>
        </w:numPr>
        <w:rPr>
          <w:rFonts w:ascii="Arial" w:cs="Arial" w:eastAsia="Arial" w:hAnsi="Arial"/>
          <w:sz w:val="22"/>
          <w:szCs w:val="22"/>
          <w:color w:val="auto"/>
        </w:rPr>
      </w:pPr>
      <w:r>
        <w:rPr>
          <w:rFonts w:ascii="Arial" w:cs="Arial" w:eastAsia="Arial" w:hAnsi="Arial"/>
          <w:sz w:val="22"/>
          <w:szCs w:val="22"/>
          <w:color w:val="auto"/>
        </w:rPr>
        <w:t>“Subsidiary” or “Subsidiaries” means any corporation (other than the Company) in an unbroken chain of corporations beginning with the Company, if each of the corporations other than the last corporation in the unbroken chain owns stock possessing 50 percent or more of the total combined voting power of all classes of stock in one of the other corporations in such chain. A corporation that attains the</w:t>
      </w: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B- 4</w:t>
      </w:r>
    </w:p>
    <w:p>
      <w:pPr>
        <w:sectPr>
          <w:pgSz w:w="11900" w:h="16838" w:orient="portrait"/>
          <w:cols w:equalWidth="0" w:num="1">
            <w:col w:w="10220"/>
          </w:cols>
          <w:pgMar w:left="1440" w:top="591" w:right="239" w:bottom="1440" w:gutter="0" w:footer="0" w:header="0"/>
        </w:sectPr>
      </w:pPr>
    </w:p>
    <w:bookmarkStart w:id="74" w:name="page75"/>
    <w:bookmarkEnd w:id="74"/>
    <w:p>
      <w:pPr>
        <w:ind w:left="880" w:right="400"/>
        <w:spacing w:after="0" w:line="263" w:lineRule="auto"/>
        <w:rPr>
          <w:sz w:val="20"/>
          <w:szCs w:val="20"/>
          <w:color w:val="auto"/>
        </w:rPr>
      </w:pPr>
      <w:r>
        <w:rPr>
          <w:rFonts w:ascii="Arial" w:cs="Arial" w:eastAsia="Arial" w:hAnsi="Arial"/>
          <w:sz w:val="22"/>
          <w:szCs w:val="22"/>
          <w:color w:val="auto"/>
        </w:rPr>
        <w:t>status of a Subsidiary on a date after the Effective Date shall be considered a Subsidiary commencing as of the date it attains such status.</w:t>
      </w:r>
    </w:p>
    <w:p>
      <w:pPr>
        <w:spacing w:after="0" w:line="209" w:lineRule="exact"/>
        <w:rPr>
          <w:sz w:val="20"/>
          <w:szCs w:val="20"/>
          <w:color w:val="auto"/>
        </w:rPr>
      </w:pPr>
    </w:p>
    <w:p>
      <w:pPr>
        <w:ind w:left="1460" w:hanging="804"/>
        <w:spacing w:after="0"/>
        <w:tabs>
          <w:tab w:leader="none" w:pos="1460"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w:t>
      </w:r>
    </w:p>
    <w:p>
      <w:pPr>
        <w:spacing w:after="0" w:line="266" w:lineRule="exact"/>
        <w:rPr>
          <w:sz w:val="20"/>
          <w:szCs w:val="20"/>
          <w:color w:val="auto"/>
        </w:rPr>
      </w:pPr>
    </w:p>
    <w:p>
      <w:pPr>
        <w:ind w:right="20" w:firstLine="648"/>
        <w:spacing w:after="0" w:line="265" w:lineRule="auto"/>
        <w:rPr>
          <w:sz w:val="20"/>
          <w:szCs w:val="20"/>
          <w:color w:val="auto"/>
        </w:rPr>
      </w:pPr>
      <w:r>
        <w:rPr>
          <w:rFonts w:ascii="Arial" w:cs="Arial" w:eastAsia="Arial" w:hAnsi="Arial"/>
          <w:sz w:val="21"/>
          <w:szCs w:val="21"/>
          <w:color w:val="auto"/>
        </w:rPr>
        <w:t>The Plan shall be administered by a Plan Administrator complying with the requirements of Section 2(w). The Plan Administrator shall have the authority and responsibility for the day-to-day administration of the Plan. Subject to the express provisions of the Plan and Section 17(c), the Plan Administrator shall have full authority, in its sole discretion, to take any actions it deems necessary or advisable for the administration of the Plan, including but not limited to:</w:t>
      </w:r>
    </w:p>
    <w:p>
      <w:pPr>
        <w:spacing w:after="0" w:line="216" w:lineRule="exact"/>
        <w:rPr>
          <w:sz w:val="20"/>
          <w:szCs w:val="20"/>
          <w:color w:val="auto"/>
        </w:rPr>
      </w:pPr>
    </w:p>
    <w:p>
      <w:pPr>
        <w:ind w:left="880" w:right="260" w:firstLine="654"/>
        <w:spacing w:after="0" w:line="253" w:lineRule="auto"/>
        <w:tabs>
          <w:tab w:leader="none" w:pos="2173"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Interpreting the Plan and adopting rules and regulations it deems appropriate to implement the Plan, including amending any outstanding Option as it may deem advisable or necessary to comply with applicable laws and making all other decisions relating to the operation of the Plan;</w:t>
      </w:r>
    </w:p>
    <w:p>
      <w:pPr>
        <w:spacing w:after="0" w:line="226" w:lineRule="exact"/>
        <w:rPr>
          <w:rFonts w:ascii="Arial" w:cs="Arial" w:eastAsia="Arial" w:hAnsi="Arial"/>
          <w:sz w:val="22"/>
          <w:szCs w:val="22"/>
          <w:color w:val="auto"/>
        </w:rPr>
      </w:pPr>
    </w:p>
    <w:p>
      <w:pPr>
        <w:ind w:left="2200" w:hanging="666"/>
        <w:spacing w:after="0"/>
        <w:tabs>
          <w:tab w:leader="none" w:pos="22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Establishing the timing and length of offering periods;</w:t>
      </w:r>
    </w:p>
    <w:p>
      <w:pPr>
        <w:spacing w:after="0" w:line="260" w:lineRule="exact"/>
        <w:rPr>
          <w:rFonts w:ascii="Arial" w:cs="Arial" w:eastAsia="Arial" w:hAnsi="Arial"/>
          <w:sz w:val="22"/>
          <w:szCs w:val="22"/>
          <w:color w:val="auto"/>
        </w:rPr>
      </w:pPr>
    </w:p>
    <w:p>
      <w:pPr>
        <w:ind w:left="2180" w:hanging="646"/>
        <w:spacing w:after="0"/>
        <w:tabs>
          <w:tab w:leader="none" w:pos="21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Establishing minimum and maximum contribution rates;</w:t>
      </w:r>
    </w:p>
    <w:p>
      <w:pPr>
        <w:spacing w:after="0" w:line="260" w:lineRule="exact"/>
        <w:rPr>
          <w:rFonts w:ascii="Arial" w:cs="Arial" w:eastAsia="Arial" w:hAnsi="Arial"/>
          <w:sz w:val="22"/>
          <w:szCs w:val="22"/>
          <w:color w:val="auto"/>
        </w:rPr>
      </w:pPr>
    </w:p>
    <w:p>
      <w:pPr>
        <w:ind w:left="880" w:right="180" w:firstLine="654"/>
        <w:spacing w:after="0" w:line="253" w:lineRule="auto"/>
        <w:tabs>
          <w:tab w:leader="none" w:pos="2185"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Revising the limits on the number of shares of Common Stock that an Eligible Employee may elect to purchase with respect to any offering period, if such limits are announced prior to the first offering period to be affected by the limits;</w:t>
      </w:r>
    </w:p>
    <w:p>
      <w:pPr>
        <w:spacing w:after="0" w:line="226" w:lineRule="exact"/>
        <w:rPr>
          <w:rFonts w:ascii="Arial" w:cs="Arial" w:eastAsia="Arial" w:hAnsi="Arial"/>
          <w:sz w:val="22"/>
          <w:szCs w:val="22"/>
          <w:color w:val="auto"/>
        </w:rPr>
      </w:pPr>
    </w:p>
    <w:p>
      <w:pPr>
        <w:ind w:left="880" w:right="120" w:firstLine="654"/>
        <w:spacing w:after="0" w:line="250" w:lineRule="auto"/>
        <w:tabs>
          <w:tab w:leader="none" w:pos="2173" w:val="left"/>
        </w:tabs>
        <w:numPr>
          <w:ilvl w:val="0"/>
          <w:numId w:val="86"/>
        </w:numPr>
        <w:rPr>
          <w:rFonts w:ascii="Arial" w:cs="Arial" w:eastAsia="Arial" w:hAnsi="Arial"/>
          <w:sz w:val="22"/>
          <w:szCs w:val="22"/>
          <w:color w:val="auto"/>
        </w:rPr>
      </w:pPr>
      <w:r>
        <w:rPr>
          <w:rFonts w:ascii="Arial" w:cs="Arial" w:eastAsia="Arial" w:hAnsi="Arial"/>
          <w:sz w:val="22"/>
          <w:szCs w:val="22"/>
          <w:color w:val="auto"/>
        </w:rPr>
        <w:t>Adopting such rules or sub-plans as it deems necessary or appropriate to comply with the laws of other countries, allow for tax-preferred treatment of the Options or otherwise provide for the participation by Eligible Employees who reside outside of the U.S., including determining which Eligible Employees are eligible to participate in the Plan;</w:t>
      </w:r>
    </w:p>
    <w:p>
      <w:pPr>
        <w:spacing w:after="0" w:line="228" w:lineRule="exact"/>
        <w:rPr>
          <w:rFonts w:ascii="Arial" w:cs="Arial" w:eastAsia="Arial" w:hAnsi="Arial"/>
          <w:sz w:val="22"/>
          <w:szCs w:val="22"/>
          <w:color w:val="auto"/>
        </w:rPr>
      </w:pPr>
    </w:p>
    <w:p>
      <w:pPr>
        <w:ind w:left="880" w:right="520" w:firstLine="654"/>
        <w:spacing w:after="0" w:line="263" w:lineRule="auto"/>
        <w:tabs>
          <w:tab w:leader="none" w:pos="2149" w:val="left"/>
        </w:tabs>
        <w:numPr>
          <w:ilvl w:val="0"/>
          <w:numId w:val="86"/>
        </w:numPr>
        <w:rPr>
          <w:rFonts w:ascii="Arial" w:cs="Arial" w:eastAsia="Arial" w:hAnsi="Arial"/>
          <w:sz w:val="22"/>
          <w:szCs w:val="22"/>
          <w:color w:val="auto"/>
        </w:rPr>
      </w:pPr>
      <w:r>
        <w:rPr>
          <w:rFonts w:ascii="Arial" w:cs="Arial" w:eastAsia="Arial" w:hAnsi="Arial"/>
          <w:sz w:val="22"/>
          <w:szCs w:val="22"/>
          <w:color w:val="auto"/>
        </w:rPr>
        <w:t>Determining whether Designated Companies shall participate in the Section 423 Component or Non-Section 423 Component; and</w:t>
      </w:r>
    </w:p>
    <w:p>
      <w:pPr>
        <w:spacing w:after="0" w:line="215" w:lineRule="exact"/>
        <w:rPr>
          <w:rFonts w:ascii="Arial" w:cs="Arial" w:eastAsia="Arial" w:hAnsi="Arial"/>
          <w:sz w:val="22"/>
          <w:szCs w:val="22"/>
          <w:color w:val="auto"/>
        </w:rPr>
      </w:pPr>
    </w:p>
    <w:p>
      <w:pPr>
        <w:ind w:left="880" w:right="180" w:firstLine="654"/>
        <w:spacing w:after="0" w:line="253" w:lineRule="auto"/>
        <w:tabs>
          <w:tab w:leader="none" w:pos="2185" w:val="left"/>
        </w:tabs>
        <w:numPr>
          <w:ilvl w:val="0"/>
          <w:numId w:val="86"/>
        </w:numPr>
        <w:rPr>
          <w:rFonts w:ascii="Arial" w:cs="Arial" w:eastAsia="Arial" w:hAnsi="Arial"/>
          <w:sz w:val="22"/>
          <w:szCs w:val="22"/>
          <w:color w:val="auto"/>
        </w:rPr>
      </w:pPr>
      <w:r>
        <w:rPr>
          <w:rFonts w:ascii="Arial" w:cs="Arial" w:eastAsia="Arial" w:hAnsi="Arial"/>
          <w:sz w:val="22"/>
          <w:szCs w:val="22"/>
          <w:color w:val="auto"/>
        </w:rPr>
        <w:t>Establishing the exchange ratio applicable to amounts contributed in a currency other than U.S. dollars and permit Contributions in excess of the amount designated by a Participant in order to adjust for delays or mistakes in the processing of properly completed enrollment forms.</w:t>
      </w:r>
    </w:p>
    <w:p>
      <w:pPr>
        <w:spacing w:after="0" w:line="226"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The determinations of the Plan Administrator on all matters regarding the Plan shall be conclusive and binding on all parties. Except as otherwise provided herein, the Plan Administrator shall have no authority to amend, modify, supplement or delete any portions of the Plan.</w:t>
      </w:r>
    </w:p>
    <w:p>
      <w:pPr>
        <w:spacing w:after="0" w:line="180" w:lineRule="exact"/>
        <w:rPr>
          <w:sz w:val="20"/>
          <w:szCs w:val="20"/>
          <w:color w:val="auto"/>
        </w:rPr>
      </w:pPr>
    </w:p>
    <w:p>
      <w:pPr>
        <w:ind w:left="1460" w:hanging="804"/>
        <w:spacing w:after="0"/>
        <w:tabs>
          <w:tab w:leader="none" w:pos="1460" w:val="left"/>
        </w:tabs>
        <w:numPr>
          <w:ilvl w:val="0"/>
          <w:numId w:val="87"/>
        </w:numPr>
        <w:rPr>
          <w:rFonts w:ascii="Arial" w:cs="Arial" w:eastAsia="Arial" w:hAnsi="Arial"/>
          <w:sz w:val="22"/>
          <w:szCs w:val="22"/>
          <w:color w:val="auto"/>
        </w:rPr>
      </w:pPr>
      <w:r>
        <w:rPr>
          <w:rFonts w:ascii="Arial" w:cs="Arial" w:eastAsia="Arial" w:hAnsi="Arial"/>
          <w:sz w:val="22"/>
          <w:szCs w:val="22"/>
          <w:b w:val="1"/>
          <w:bCs w:val="1"/>
          <w:color w:val="auto"/>
        </w:rPr>
        <w:t>Shares Issuable.</w:t>
      </w:r>
    </w:p>
    <w:p>
      <w:pPr>
        <w:spacing w:after="0" w:line="266" w:lineRule="exact"/>
        <w:rPr>
          <w:rFonts w:ascii="Arial" w:cs="Arial" w:eastAsia="Arial" w:hAnsi="Arial"/>
          <w:sz w:val="22"/>
          <w:szCs w:val="22"/>
          <w:color w:val="auto"/>
        </w:rPr>
      </w:pPr>
    </w:p>
    <w:p>
      <w:pPr>
        <w:jc w:val="both"/>
        <w:ind w:left="1300" w:right="600" w:firstLine="653"/>
        <w:spacing w:after="0" w:line="253" w:lineRule="auto"/>
        <w:tabs>
          <w:tab w:leader="none" w:pos="2470" w:val="left"/>
        </w:tabs>
        <w:numPr>
          <w:ilvl w:val="1"/>
          <w:numId w:val="87"/>
        </w:numPr>
        <w:rPr>
          <w:rFonts w:ascii="Arial" w:cs="Arial" w:eastAsia="Arial" w:hAnsi="Arial"/>
          <w:sz w:val="22"/>
          <w:szCs w:val="22"/>
          <w:b w:val="1"/>
          <w:bCs w:val="1"/>
          <w:color w:val="auto"/>
        </w:rPr>
      </w:pPr>
      <w:r>
        <w:rPr>
          <w:rFonts w:ascii="Arial" w:cs="Arial" w:eastAsia="Arial" w:hAnsi="Arial"/>
          <w:sz w:val="22"/>
          <w:szCs w:val="22"/>
          <w:u w:val="single" w:color="auto"/>
          <w:color w:val="auto"/>
        </w:rPr>
        <w:t>Maximum Limitations</w:t>
      </w:r>
      <w:r>
        <w:rPr>
          <w:rFonts w:ascii="Arial" w:cs="Arial" w:eastAsia="Arial" w:hAnsi="Arial"/>
          <w:sz w:val="22"/>
          <w:szCs w:val="22"/>
          <w:color w:val="auto"/>
        </w:rPr>
        <w:t>. The aggregate number of shares of Common Stock available for grant as Options pursuant to Section 5 shall not exceed 14,000,000, subject to adjustment pursuant to Section 4(b) and Section 13. Shares of Common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B- 5</w:t>
      </w:r>
    </w:p>
    <w:p>
      <w:pPr>
        <w:sectPr>
          <w:pgSz w:w="11900" w:h="16838" w:orient="portrait"/>
          <w:cols w:equalWidth="0" w:num="1">
            <w:col w:w="11420"/>
          </w:cols>
          <w:pgMar w:left="240" w:top="591" w:right="239" w:bottom="1440" w:gutter="0" w:footer="0" w:header="0"/>
        </w:sectPr>
      </w:pPr>
    </w:p>
    <w:bookmarkStart w:id="75" w:name="page76"/>
    <w:bookmarkEnd w:id="75"/>
    <w:p>
      <w:pPr>
        <w:ind w:left="224" w:right="120"/>
        <w:spacing w:after="0" w:line="261" w:lineRule="auto"/>
        <w:rPr>
          <w:sz w:val="20"/>
          <w:szCs w:val="20"/>
          <w:color w:val="auto"/>
        </w:rPr>
      </w:pPr>
      <w:r>
        <w:rPr>
          <w:rFonts w:ascii="Arial" w:cs="Arial" w:eastAsia="Arial" w:hAnsi="Arial"/>
          <w:sz w:val="21"/>
          <w:szCs w:val="21"/>
          <w:color w:val="auto"/>
        </w:rPr>
        <w:t>Stock granted pursuant to the Plan may be either authorized but unissued shares, shares now or hereafter held in the treasury of the Company or shares acquired in the open market. In the event that any Option granted pursuant to Section 5 expires or is terminated, surrendered or cancelled without being exercised, in whole or in part, for any reason, the number of shares of Common Stock theretofore subject to such Option shall again be available for grant as an Option pursuant to Section 5 and shall not reduce the aggregate number of shares of Common Stock available for grant as such Options as set forth in the first sentence of this Section 4.</w:t>
      </w:r>
    </w:p>
    <w:p>
      <w:pPr>
        <w:spacing w:after="0" w:line="221" w:lineRule="exact"/>
        <w:rPr>
          <w:sz w:val="20"/>
          <w:szCs w:val="20"/>
          <w:color w:val="auto"/>
        </w:rPr>
      </w:pPr>
    </w:p>
    <w:p>
      <w:pPr>
        <w:ind w:left="224" w:firstLine="654"/>
        <w:spacing w:after="0" w:line="247" w:lineRule="auto"/>
        <w:tabs>
          <w:tab w:leader="none" w:pos="1340"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Annual Increase in Maximum Number of Shares Issuable</w:t>
      </w:r>
      <w:r>
        <w:rPr>
          <w:rFonts w:ascii="Arial" w:cs="Arial" w:eastAsia="Arial" w:hAnsi="Arial"/>
          <w:sz w:val="22"/>
          <w:szCs w:val="22"/>
          <w:color w:val="auto"/>
        </w:rPr>
        <w:t>. Subject to adjustment as provided in Section 13, the maximum aggregate number of shares of Common Stock available for grant as Options pursuant to Section 5 (a) shall be cumulatively increased on January 1, 2020 and on each subsequent January 1, through and including January 1, 2029, by a number of shares (the “Annual Increase”) equal to the smaller of (i) two percent (2%) of the number of shares of Common Stock issued and outstanding on the immediately preceding December 31 or (ii) an amount determined by the Board.</w:t>
      </w:r>
    </w:p>
    <w:p>
      <w:pPr>
        <w:spacing w:after="0" w:line="228" w:lineRule="exact"/>
        <w:rPr>
          <w:rFonts w:ascii="Arial" w:cs="Arial" w:eastAsia="Arial" w:hAnsi="Arial"/>
          <w:sz w:val="22"/>
          <w:szCs w:val="22"/>
          <w:color w:val="auto"/>
        </w:rPr>
      </w:pPr>
    </w:p>
    <w:p>
      <w:pPr>
        <w:ind w:left="804" w:hanging="804"/>
        <w:spacing w:after="0"/>
        <w:tabs>
          <w:tab w:leader="none" w:pos="804" w:val="left"/>
        </w:tabs>
        <w:numPr>
          <w:ilvl w:val="0"/>
          <w:numId w:val="89"/>
        </w:numPr>
        <w:rPr>
          <w:rFonts w:ascii="Arial" w:cs="Arial" w:eastAsia="Arial" w:hAnsi="Arial"/>
          <w:sz w:val="22"/>
          <w:szCs w:val="22"/>
          <w:color w:val="auto"/>
        </w:rPr>
      </w:pPr>
      <w:r>
        <w:rPr>
          <w:rFonts w:ascii="Arial" w:cs="Arial" w:eastAsia="Arial" w:hAnsi="Arial"/>
          <w:sz w:val="22"/>
          <w:szCs w:val="22"/>
          <w:b w:val="1"/>
          <w:bCs w:val="1"/>
          <w:color w:val="auto"/>
        </w:rPr>
        <w:t>Grant of Options; Limitations</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ind w:left="224" w:firstLine="654"/>
        <w:spacing w:after="0" w:line="253" w:lineRule="auto"/>
        <w:tabs>
          <w:tab w:leader="none" w:pos="1517" w:val="left"/>
        </w:tabs>
        <w:numPr>
          <w:ilvl w:val="1"/>
          <w:numId w:val="89"/>
        </w:numPr>
        <w:rPr>
          <w:rFonts w:ascii="Arial" w:cs="Arial" w:eastAsia="Arial" w:hAnsi="Arial"/>
          <w:sz w:val="22"/>
          <w:szCs w:val="22"/>
          <w:color w:val="auto"/>
        </w:rPr>
      </w:pPr>
      <w:r>
        <w:rPr>
          <w:rFonts w:ascii="Arial" w:cs="Arial" w:eastAsia="Arial" w:hAnsi="Arial"/>
          <w:sz w:val="22"/>
          <w:szCs w:val="22"/>
          <w:color w:val="auto"/>
        </w:rPr>
        <w:t>On each Grant Date, each Participant shall automatically be granted an Option to purchase on the Exercise Date as many whole shares of Common Stock as the Participant will be able to purchase with the Contributions credited to the Participant’s Deposit Account during the applicable offering.</w:t>
      </w:r>
    </w:p>
    <w:p>
      <w:pPr>
        <w:spacing w:after="0" w:line="226" w:lineRule="exact"/>
        <w:rPr>
          <w:rFonts w:ascii="Arial" w:cs="Arial" w:eastAsia="Arial" w:hAnsi="Arial"/>
          <w:sz w:val="22"/>
          <w:szCs w:val="22"/>
          <w:color w:val="auto"/>
        </w:rPr>
      </w:pPr>
    </w:p>
    <w:p>
      <w:pPr>
        <w:ind w:left="1544" w:hanging="666"/>
        <w:spacing w:after="0"/>
        <w:tabs>
          <w:tab w:leader="none" w:pos="1544" w:val="left"/>
        </w:tabs>
        <w:numPr>
          <w:ilvl w:val="1"/>
          <w:numId w:val="89"/>
        </w:numPr>
        <w:rPr>
          <w:rFonts w:ascii="Arial" w:cs="Arial" w:eastAsia="Arial" w:hAnsi="Arial"/>
          <w:sz w:val="19"/>
          <w:szCs w:val="19"/>
          <w:color w:val="auto"/>
        </w:rPr>
      </w:pPr>
      <w:r>
        <w:rPr>
          <w:rFonts w:ascii="Arial" w:cs="Arial" w:eastAsia="Arial" w:hAnsi="Arial"/>
          <w:sz w:val="19"/>
          <w:szCs w:val="19"/>
          <w:color w:val="auto"/>
        </w:rPr>
        <w:t>Notwithstanding Section 5(a), in no event may a Participant purchase more than 500,000 shares during an</w:t>
      </w:r>
    </w:p>
    <w:p>
      <w:pPr>
        <w:spacing w:after="0" w:line="56" w:lineRule="exact"/>
        <w:rPr>
          <w:rFonts w:ascii="Arial" w:cs="Arial" w:eastAsia="Arial" w:hAnsi="Arial"/>
          <w:sz w:val="19"/>
          <w:szCs w:val="19"/>
          <w:color w:val="auto"/>
        </w:rPr>
      </w:pPr>
    </w:p>
    <w:p>
      <w:pPr>
        <w:ind w:left="224"/>
        <w:spacing w:after="0"/>
        <w:rPr>
          <w:rFonts w:ascii="Arial" w:cs="Arial" w:eastAsia="Arial" w:hAnsi="Arial"/>
          <w:sz w:val="19"/>
          <w:szCs w:val="19"/>
          <w:color w:val="auto"/>
        </w:rPr>
      </w:pPr>
      <w:r>
        <w:rPr>
          <w:rFonts w:ascii="Arial" w:cs="Arial" w:eastAsia="Arial" w:hAnsi="Arial"/>
          <w:sz w:val="22"/>
          <w:szCs w:val="22"/>
          <w:color w:val="auto"/>
        </w:rPr>
        <w:t>offering.</w:t>
      </w:r>
    </w:p>
    <w:p>
      <w:pPr>
        <w:spacing w:after="0" w:line="242" w:lineRule="exact"/>
        <w:rPr>
          <w:rFonts w:ascii="Arial" w:cs="Arial" w:eastAsia="Arial" w:hAnsi="Arial"/>
          <w:sz w:val="19"/>
          <w:szCs w:val="19"/>
          <w:color w:val="auto"/>
        </w:rPr>
      </w:pPr>
    </w:p>
    <w:p>
      <w:pPr>
        <w:ind w:left="224" w:right="40" w:firstLine="654"/>
        <w:spacing w:after="0" w:line="294" w:lineRule="auto"/>
        <w:tabs>
          <w:tab w:leader="none" w:pos="1517" w:val="left"/>
        </w:tabs>
        <w:numPr>
          <w:ilvl w:val="1"/>
          <w:numId w:val="89"/>
        </w:numPr>
        <w:rPr>
          <w:rFonts w:ascii="Arial" w:cs="Arial" w:eastAsia="Arial" w:hAnsi="Arial"/>
          <w:sz w:val="19"/>
          <w:szCs w:val="19"/>
          <w:color w:val="auto"/>
        </w:rPr>
      </w:pPr>
      <w:r>
        <w:rPr>
          <w:rFonts w:ascii="Arial" w:cs="Arial" w:eastAsia="Arial" w:hAnsi="Arial"/>
          <w:sz w:val="19"/>
          <w:szCs w:val="19"/>
          <w:color w:val="auto"/>
        </w:rPr>
        <w:t>Any provisions of the Plan to the contrary notwithstanding, excluding Options granted pursuant to any Non-Section 423(b) Component of the Plan, no Participant shall be granted an Option to purchase Common Stock under this Plan that permits the Participant’s rights to purchase Common Stock under all employee stock purchase plans (described in Section 423 of the Code) of the Company and its Subsidiaries to accrue at a rate which exceeds twenty-five thousand dollars ($25,000) of the Fair Market Value of such Common Stock (determined at the time such Options are granted) for each calendar year in which such Options are outstanding at any time.</w:t>
      </w:r>
    </w:p>
    <w:p>
      <w:pPr>
        <w:spacing w:after="0" w:line="190" w:lineRule="exact"/>
        <w:rPr>
          <w:rFonts w:ascii="Arial" w:cs="Arial" w:eastAsia="Arial" w:hAnsi="Arial"/>
          <w:sz w:val="19"/>
          <w:szCs w:val="19"/>
          <w:color w:val="auto"/>
        </w:rPr>
      </w:pPr>
    </w:p>
    <w:p>
      <w:pPr>
        <w:ind w:left="224" w:firstLine="654"/>
        <w:spacing w:after="0" w:line="250" w:lineRule="auto"/>
        <w:tabs>
          <w:tab w:leader="none" w:pos="1529" w:val="left"/>
        </w:tabs>
        <w:numPr>
          <w:ilvl w:val="1"/>
          <w:numId w:val="89"/>
        </w:numPr>
        <w:rPr>
          <w:rFonts w:ascii="Arial" w:cs="Arial" w:eastAsia="Arial" w:hAnsi="Arial"/>
          <w:sz w:val="22"/>
          <w:szCs w:val="22"/>
          <w:color w:val="auto"/>
        </w:rPr>
      </w:pPr>
      <w:r>
        <w:rPr>
          <w:rFonts w:ascii="Arial" w:cs="Arial" w:eastAsia="Arial" w:hAnsi="Arial"/>
          <w:sz w:val="22"/>
          <w:szCs w:val="22"/>
          <w:color w:val="auto"/>
        </w:rPr>
        <w:t>If the number of shares of Common Stock for which Options are granted pursuant to this Section 5 exceeds the applicable number set forth in Section 4, then the Options granted under this Section 5 to all Eligible Employees shall, in a nondiscriminatory manner which shall be consistent with Section 15(c), be reduced in proportion to their respective Contributions.</w:t>
      </w:r>
    </w:p>
    <w:p>
      <w:pPr>
        <w:spacing w:after="0" w:line="222" w:lineRule="exact"/>
        <w:rPr>
          <w:rFonts w:ascii="Arial" w:cs="Arial" w:eastAsia="Arial" w:hAnsi="Arial"/>
          <w:sz w:val="22"/>
          <w:szCs w:val="22"/>
          <w:color w:val="auto"/>
        </w:rPr>
      </w:pPr>
    </w:p>
    <w:p>
      <w:pPr>
        <w:ind w:left="804" w:hanging="804"/>
        <w:spacing w:after="0"/>
        <w:tabs>
          <w:tab w:leader="none" w:pos="804" w:val="left"/>
        </w:tabs>
        <w:numPr>
          <w:ilvl w:val="0"/>
          <w:numId w:val="89"/>
        </w:numPr>
        <w:rPr>
          <w:rFonts w:ascii="Arial" w:cs="Arial" w:eastAsia="Arial" w:hAnsi="Arial"/>
          <w:sz w:val="22"/>
          <w:szCs w:val="22"/>
          <w:color w:val="auto"/>
        </w:rPr>
      </w:pPr>
      <w:r>
        <w:rPr>
          <w:rFonts w:ascii="Arial" w:cs="Arial" w:eastAsia="Arial" w:hAnsi="Arial"/>
          <w:sz w:val="22"/>
          <w:szCs w:val="22"/>
          <w:b w:val="1"/>
          <w:bCs w:val="1"/>
          <w:color w:val="auto"/>
        </w:rPr>
        <w:t>Commencement of Participation</w:t>
      </w:r>
      <w:r>
        <w:rPr>
          <w:rFonts w:ascii="Arial" w:cs="Arial" w:eastAsia="Arial" w:hAnsi="Arial"/>
          <w:sz w:val="22"/>
          <w:szCs w:val="22"/>
          <w:color w:val="auto"/>
        </w:rPr>
        <w:t>.</w:t>
      </w:r>
    </w:p>
    <w:p>
      <w:pPr>
        <w:spacing w:after="0" w:line="266" w:lineRule="exact"/>
        <w:rPr>
          <w:sz w:val="20"/>
          <w:szCs w:val="20"/>
          <w:color w:val="auto"/>
        </w:rPr>
      </w:pPr>
    </w:p>
    <w:p>
      <w:pPr>
        <w:ind w:left="244" w:right="60" w:firstLine="648"/>
        <w:spacing w:after="0" w:line="253" w:lineRule="auto"/>
        <w:tabs>
          <w:tab w:leader="none" w:pos="1336"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 Eligible Employee may become a Participant by completing any electronic enrollment process approved by the Plan Administrator, or by completing and filing with the Human Resources Department of the Company (i) an enrollment</w:t>
      </w:r>
    </w:p>
    <w:p>
      <w:pPr>
        <w:spacing w:after="0" w:line="207"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B- 6</w:t>
      </w:r>
    </w:p>
    <w:p>
      <w:pPr>
        <w:sectPr>
          <w:pgSz w:w="11900" w:h="16838" w:orient="portrait"/>
          <w:cols w:equalWidth="0" w:num="1">
            <w:col w:w="10744"/>
          </w:cols>
          <w:pgMar w:left="896" w:top="591" w:right="259" w:bottom="1440" w:gutter="0" w:footer="0" w:header="0"/>
        </w:sectPr>
      </w:pPr>
    </w:p>
    <w:bookmarkStart w:id="76" w:name="page77"/>
    <w:bookmarkEnd w:id="76"/>
    <w:p>
      <w:pPr>
        <w:ind w:left="880" w:right="460"/>
        <w:spacing w:after="0" w:line="343" w:lineRule="auto"/>
        <w:rPr>
          <w:sz w:val="20"/>
          <w:szCs w:val="20"/>
          <w:color w:val="auto"/>
        </w:rPr>
      </w:pPr>
      <w:r>
        <w:rPr>
          <w:rFonts w:ascii="Arial" w:cs="Arial" w:eastAsia="Arial" w:hAnsi="Arial"/>
          <w:sz w:val="19"/>
          <w:szCs w:val="19"/>
          <w:color w:val="auto"/>
        </w:rPr>
        <w:t>form, and (ii) such forms as are requested by the Broker for the opening of the Eligible Employee’s account with the Broker. Contributions shall begin as soon as administratively feasible after the required forms have been submitted.</w:t>
      </w:r>
    </w:p>
    <w:p>
      <w:pPr>
        <w:spacing w:after="0" w:line="145" w:lineRule="exact"/>
        <w:rPr>
          <w:sz w:val="20"/>
          <w:szCs w:val="20"/>
          <w:color w:val="auto"/>
        </w:rPr>
      </w:pPr>
    </w:p>
    <w:p>
      <w:pPr>
        <w:ind w:left="900" w:firstLine="1296"/>
        <w:spacing w:after="0" w:line="261" w:lineRule="auto"/>
        <w:tabs>
          <w:tab w:leader="none" w:pos="2653" w:val="left"/>
        </w:tabs>
        <w:numPr>
          <w:ilvl w:val="1"/>
          <w:numId w:val="91"/>
        </w:numPr>
        <w:rPr>
          <w:rFonts w:ascii="Arial" w:cs="Arial" w:eastAsia="Arial" w:hAnsi="Arial"/>
          <w:sz w:val="21"/>
          <w:szCs w:val="21"/>
          <w:color w:val="auto"/>
        </w:rPr>
      </w:pPr>
      <w:r>
        <w:rPr>
          <w:rFonts w:ascii="Arial" w:cs="Arial" w:eastAsia="Arial" w:hAnsi="Arial"/>
          <w:sz w:val="21"/>
          <w:szCs w:val="21"/>
          <w:color w:val="auto"/>
        </w:rPr>
        <w:t>At the time an Eligible Employee completes an enrollment form, the Eligible Employee shall elect to purchase Common Stock with up to 15% of the employee’s Compensation, in whole percentages, for the applicable period for which the Option is in effect. An enrollment form will remain in effect until cancelled by the Participant or until the Participant ceases to qualify as an Eligible Employee. Notwithstanding the foregoing, the Plan Administrator may require Participants to complete and submit a new enrollment form at any time it deems necessary or desirable to facilitate administration of the Plan or for any other reason.</w:t>
      </w:r>
    </w:p>
    <w:p>
      <w:pPr>
        <w:spacing w:after="0" w:line="214" w:lineRule="exact"/>
        <w:rPr>
          <w:rFonts w:ascii="Arial" w:cs="Arial" w:eastAsia="Arial" w:hAnsi="Arial"/>
          <w:sz w:val="21"/>
          <w:szCs w:val="21"/>
          <w:color w:val="auto"/>
        </w:rPr>
      </w:pPr>
    </w:p>
    <w:p>
      <w:pPr>
        <w:ind w:left="1460" w:hanging="804"/>
        <w:spacing w:after="0"/>
        <w:tabs>
          <w:tab w:leader="none" w:pos="1460" w:val="left"/>
        </w:tabs>
        <w:numPr>
          <w:ilvl w:val="0"/>
          <w:numId w:val="92"/>
        </w:numPr>
        <w:rPr>
          <w:rFonts w:ascii="Arial" w:cs="Arial" w:eastAsia="Arial" w:hAnsi="Arial"/>
          <w:sz w:val="22"/>
          <w:szCs w:val="22"/>
          <w:color w:val="auto"/>
        </w:rPr>
      </w:pPr>
      <w:r>
        <w:rPr>
          <w:rFonts w:ascii="Arial" w:cs="Arial" w:eastAsia="Arial" w:hAnsi="Arial"/>
          <w:sz w:val="22"/>
          <w:szCs w:val="22"/>
          <w:b w:val="1"/>
          <w:bCs w:val="1"/>
          <w:color w:val="auto"/>
        </w:rPr>
        <w:t>Participant’s Deposit /Contributions</w:t>
      </w:r>
      <w:r>
        <w:rPr>
          <w:rFonts w:ascii="Arial" w:cs="Arial" w:eastAsia="Arial" w:hAnsi="Arial"/>
          <w:sz w:val="22"/>
          <w:szCs w:val="22"/>
          <w:color w:val="auto"/>
        </w:rPr>
        <w:t>.</w:t>
      </w:r>
    </w:p>
    <w:p>
      <w:pPr>
        <w:spacing w:after="0" w:line="266" w:lineRule="exact"/>
        <w:rPr>
          <w:sz w:val="20"/>
          <w:szCs w:val="20"/>
          <w:color w:val="auto"/>
        </w:rPr>
      </w:pPr>
    </w:p>
    <w:p>
      <w:pPr>
        <w:ind w:right="100" w:firstLine="648"/>
        <w:spacing w:after="0" w:line="247" w:lineRule="auto"/>
        <w:rPr>
          <w:sz w:val="20"/>
          <w:szCs w:val="20"/>
          <w:color w:val="auto"/>
        </w:rPr>
      </w:pPr>
      <w:r>
        <w:rPr>
          <w:rFonts w:ascii="Arial" w:cs="Arial" w:eastAsia="Arial" w:hAnsi="Arial"/>
          <w:sz w:val="22"/>
          <w:szCs w:val="22"/>
          <w:color w:val="auto"/>
        </w:rPr>
        <w:t>All Contributions made by a Participant shall be credited to the Participant’s Deposit Account. No interest will be paid to any Participant or credited to his or her Deposit Account under the Plan with respect to such funds unless otherwise deemed necessary by the Plan Administrator for Participants in the Non-Section 423 Component of the Plan. All amounts credited to a Participant’s Deposit Account shall be used to purchase Common Stock under Section 10 and, except as provided in Sections 9(b), 10 and 16 and in rules or procedures deemed necessary by the Plan Administrator, no portion of an Eligible Employee’s Deposit Account shall be refunded to him or her.</w:t>
      </w:r>
    </w:p>
    <w:p>
      <w:pPr>
        <w:spacing w:after="0" w:line="228" w:lineRule="exact"/>
        <w:rPr>
          <w:sz w:val="20"/>
          <w:szCs w:val="20"/>
          <w:color w:val="auto"/>
        </w:rPr>
      </w:pPr>
    </w:p>
    <w:p>
      <w:pPr>
        <w:ind w:left="1460" w:hanging="804"/>
        <w:spacing w:after="0"/>
        <w:tabs>
          <w:tab w:leader="none" w:pos="1460" w:val="left"/>
        </w:tabs>
        <w:numPr>
          <w:ilvl w:val="0"/>
          <w:numId w:val="93"/>
        </w:numPr>
        <w:rPr>
          <w:rFonts w:ascii="Arial" w:cs="Arial" w:eastAsia="Arial" w:hAnsi="Arial"/>
          <w:sz w:val="22"/>
          <w:szCs w:val="22"/>
          <w:color w:val="auto"/>
        </w:rPr>
      </w:pPr>
      <w:r>
        <w:rPr>
          <w:rFonts w:ascii="Arial" w:cs="Arial" w:eastAsia="Arial" w:hAnsi="Arial"/>
          <w:sz w:val="22"/>
          <w:szCs w:val="22"/>
          <w:b w:val="1"/>
          <w:bCs w:val="1"/>
          <w:color w:val="auto"/>
        </w:rPr>
        <w:t>Changes in Payroll Deductions</w:t>
      </w:r>
      <w:r>
        <w:rPr>
          <w:rFonts w:ascii="Arial" w:cs="Arial" w:eastAsia="Arial" w:hAnsi="Arial"/>
          <w:sz w:val="22"/>
          <w:szCs w:val="22"/>
          <w:color w:val="auto"/>
        </w:rPr>
        <w:t>.</w:t>
      </w:r>
    </w:p>
    <w:p>
      <w:pPr>
        <w:spacing w:after="0" w:line="28" w:lineRule="exact"/>
        <w:rPr>
          <w:sz w:val="20"/>
          <w:szCs w:val="20"/>
          <w:color w:val="auto"/>
        </w:rPr>
      </w:pPr>
    </w:p>
    <w:p>
      <w:pPr>
        <w:ind w:right="860" w:firstLine="648"/>
        <w:spacing w:after="0" w:line="323" w:lineRule="auto"/>
        <w:rPr>
          <w:sz w:val="20"/>
          <w:szCs w:val="20"/>
          <w:color w:val="auto"/>
        </w:rPr>
      </w:pPr>
      <w:r>
        <w:rPr>
          <w:rFonts w:ascii="Arial" w:cs="Arial" w:eastAsia="Arial" w:hAnsi="Arial"/>
          <w:sz w:val="19"/>
          <w:szCs w:val="19"/>
          <w:color w:val="auto"/>
        </w:rPr>
        <w:t>A Participant may discontinue participation in the Plan for a particular Grant Date as provided in Section 16, but a Participant may not alter the amount of the Contributions that the Participant has elected for that particular Grant Date.</w:t>
      </w:r>
    </w:p>
    <w:p>
      <w:pPr>
        <w:spacing w:after="0" w:line="158" w:lineRule="exact"/>
        <w:rPr>
          <w:sz w:val="20"/>
          <w:szCs w:val="20"/>
          <w:color w:val="auto"/>
        </w:rPr>
      </w:pPr>
    </w:p>
    <w:p>
      <w:pPr>
        <w:ind w:left="1460" w:hanging="804"/>
        <w:spacing w:after="0"/>
        <w:tabs>
          <w:tab w:leader="none" w:pos="1460" w:val="left"/>
        </w:tabs>
        <w:numPr>
          <w:ilvl w:val="0"/>
          <w:numId w:val="94"/>
        </w:numPr>
        <w:rPr>
          <w:rFonts w:ascii="Arial" w:cs="Arial" w:eastAsia="Arial" w:hAnsi="Arial"/>
          <w:sz w:val="22"/>
          <w:szCs w:val="22"/>
          <w:color w:val="auto"/>
        </w:rPr>
      </w:pPr>
      <w:r>
        <w:rPr>
          <w:rFonts w:ascii="Arial" w:cs="Arial" w:eastAsia="Arial" w:hAnsi="Arial"/>
          <w:sz w:val="22"/>
          <w:szCs w:val="22"/>
          <w:b w:val="1"/>
          <w:bCs w:val="1"/>
          <w:color w:val="auto"/>
        </w:rPr>
        <w:t>Terms of Options</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ind w:left="880" w:right="220" w:firstLine="654"/>
        <w:spacing w:after="0" w:line="343" w:lineRule="auto"/>
        <w:tabs>
          <w:tab w:leader="none" w:pos="2173" w:val="left"/>
        </w:tabs>
        <w:numPr>
          <w:ilvl w:val="1"/>
          <w:numId w:val="94"/>
        </w:numPr>
        <w:rPr>
          <w:rFonts w:ascii="Arial" w:cs="Arial" w:eastAsia="Arial" w:hAnsi="Arial"/>
          <w:sz w:val="19"/>
          <w:szCs w:val="19"/>
          <w:color w:val="auto"/>
        </w:rPr>
      </w:pPr>
      <w:r>
        <w:rPr>
          <w:rFonts w:ascii="Arial" w:cs="Arial" w:eastAsia="Arial" w:hAnsi="Arial"/>
          <w:sz w:val="19"/>
          <w:szCs w:val="19"/>
          <w:color w:val="auto"/>
        </w:rPr>
        <w:t>Each Option shall, unless sooner expired pursuant to Section 9(b), become exercisable on the applicable Exercise Date. Each Option not exercised on such Exercise Date shall expire at the end of such Exercise Date.</w:t>
      </w:r>
    </w:p>
    <w:p>
      <w:pPr>
        <w:spacing w:after="0" w:line="145" w:lineRule="exact"/>
        <w:rPr>
          <w:rFonts w:ascii="Arial" w:cs="Arial" w:eastAsia="Arial" w:hAnsi="Arial"/>
          <w:sz w:val="19"/>
          <w:szCs w:val="19"/>
          <w:color w:val="auto"/>
        </w:rPr>
      </w:pPr>
    </w:p>
    <w:p>
      <w:pPr>
        <w:ind w:left="880" w:right="100" w:firstLine="654"/>
        <w:spacing w:after="0" w:line="246" w:lineRule="auto"/>
        <w:tabs>
          <w:tab w:leader="none" w:pos="2185" w:val="left"/>
        </w:tabs>
        <w:numPr>
          <w:ilvl w:val="1"/>
          <w:numId w:val="94"/>
        </w:numPr>
        <w:rPr>
          <w:rFonts w:ascii="Arial" w:cs="Arial" w:eastAsia="Arial" w:hAnsi="Arial"/>
          <w:sz w:val="22"/>
          <w:szCs w:val="22"/>
          <w:color w:val="auto"/>
        </w:rPr>
      </w:pPr>
      <w:r>
        <w:rPr>
          <w:rFonts w:ascii="Arial" w:cs="Arial" w:eastAsia="Arial" w:hAnsi="Arial"/>
          <w:sz w:val="22"/>
          <w:szCs w:val="22"/>
          <w:color w:val="auto"/>
        </w:rPr>
        <w:t>An Option shall expire on the first to occur of the end of the applicable Exercise Date or the date that the employment of the Eligible Employee with the Company or the applicable Designated Company terminates (as determined by the Plan Administrator) for any reason, including death. As soon as administratively practical following such termination, the amount then credited to the Participant’s Deposit Account shall be remitted to the Participant, or to the executor, administrator or other legal representative of the Participant’s estate, or if no such persons have been appointed, to the spouse or any one or more dependents or relatives of the Participant as the Plan Administrator may determine.</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B- 7</w:t>
      </w:r>
    </w:p>
    <w:p>
      <w:pPr>
        <w:sectPr>
          <w:pgSz w:w="11900" w:h="16838" w:orient="portrait"/>
          <w:cols w:equalWidth="0" w:num="1">
            <w:col w:w="11400"/>
          </w:cols>
          <w:pgMar w:left="240" w:top="591" w:right="259" w:bottom="1440" w:gutter="0" w:footer="0" w:header="0"/>
        </w:sectPr>
      </w:pPr>
    </w:p>
    <w:bookmarkStart w:id="77" w:name="page78"/>
    <w:bookmarkEnd w:id="77"/>
    <w:p>
      <w:pPr>
        <w:ind w:left="1580" w:hanging="924"/>
        <w:spacing w:after="0"/>
        <w:tabs>
          <w:tab w:leader="none" w:pos="1580" w:val="left"/>
        </w:tabs>
        <w:numPr>
          <w:ilvl w:val="0"/>
          <w:numId w:val="95"/>
        </w:numPr>
        <w:rPr>
          <w:rFonts w:ascii="Arial" w:cs="Arial" w:eastAsia="Arial" w:hAnsi="Arial"/>
          <w:sz w:val="22"/>
          <w:szCs w:val="22"/>
          <w:color w:val="auto"/>
        </w:rPr>
      </w:pPr>
      <w:r>
        <w:rPr>
          <w:rFonts w:ascii="Arial" w:cs="Arial" w:eastAsia="Arial" w:hAnsi="Arial"/>
          <w:sz w:val="22"/>
          <w:szCs w:val="22"/>
          <w:b w:val="1"/>
          <w:bCs w:val="1"/>
          <w:color w:val="auto"/>
        </w:rPr>
        <w:t>Manner of Exercise of Options and Payment for Common Stock</w:t>
      </w:r>
      <w:r>
        <w:rPr>
          <w:rFonts w:ascii="Arial" w:cs="Arial" w:eastAsia="Arial" w:hAnsi="Arial"/>
          <w:sz w:val="22"/>
          <w:szCs w:val="22"/>
          <w:color w:val="auto"/>
        </w:rPr>
        <w:t>.</w:t>
      </w:r>
    </w:p>
    <w:p>
      <w:pPr>
        <w:spacing w:after="0" w:line="266"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Unless otherwise required by applicable law (as determined by the Plan Administrator), a Participant’s Option for a specific Grant Date will be deemed to have been exercised automatically on the first subsequent Exercise Date, for the purchase of the number of whole shares that the accumulated Contributions in his or her Deposit Account at that time will purchase at the Option Price (but not in excess of the number of shares for which Options have been granted to the Participant pursuant to Section 5). No fractional shares shall be purchased. Any Contributions accumulated in a Participant’s Deposit Account that are insufficient to purchase a whole share of Common Stock shall be retained in the Deposit Account and used in the next offering, subject to earlier withdrawal by the Participant pursuant to Section 16. Any other monies remaining in a Deposit Account after the Exercise Date shall be returned to the Participant.</w:t>
      </w:r>
    </w:p>
    <w:p>
      <w:pPr>
        <w:spacing w:after="0" w:line="219" w:lineRule="exact"/>
        <w:rPr>
          <w:sz w:val="20"/>
          <w:szCs w:val="20"/>
          <w:color w:val="auto"/>
        </w:rPr>
      </w:pPr>
    </w:p>
    <w:p>
      <w:pPr>
        <w:ind w:left="1560" w:hanging="904"/>
        <w:spacing w:after="0"/>
        <w:tabs>
          <w:tab w:leader="none" w:pos="1560" w:val="left"/>
        </w:tabs>
        <w:numPr>
          <w:ilvl w:val="0"/>
          <w:numId w:val="96"/>
        </w:numPr>
        <w:rPr>
          <w:rFonts w:ascii="Arial" w:cs="Arial" w:eastAsia="Arial" w:hAnsi="Arial"/>
          <w:sz w:val="22"/>
          <w:szCs w:val="22"/>
          <w:color w:val="auto"/>
        </w:rPr>
      </w:pPr>
      <w:r>
        <w:rPr>
          <w:rFonts w:ascii="Arial" w:cs="Arial" w:eastAsia="Arial" w:hAnsi="Arial"/>
          <w:sz w:val="22"/>
          <w:szCs w:val="22"/>
          <w:b w:val="1"/>
          <w:bCs w:val="1"/>
          <w:color w:val="auto"/>
        </w:rPr>
        <w:t>Participant’s Account with Broker</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ind w:left="880" w:firstLine="654"/>
        <w:spacing w:after="0" w:line="312" w:lineRule="auto"/>
        <w:tabs>
          <w:tab w:leader="none" w:pos="2173"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Broker shall open and maintain a separate account for each Participant. Except where otherwise prohibited, a Participant may also use the account for other purchases of Common Stock or other personal transactions. A termination by a Participant of participation in the Plan will not also terminate the individual’s account with the Broker.</w:t>
      </w:r>
    </w:p>
    <w:p>
      <w:pPr>
        <w:spacing w:after="0" w:line="174" w:lineRule="exact"/>
        <w:rPr>
          <w:rFonts w:ascii="Arial" w:cs="Arial" w:eastAsia="Arial" w:hAnsi="Arial"/>
          <w:sz w:val="19"/>
          <w:szCs w:val="19"/>
          <w:color w:val="auto"/>
        </w:rPr>
      </w:pPr>
    </w:p>
    <w:p>
      <w:pPr>
        <w:ind w:left="880" w:right="180" w:firstLine="654"/>
        <w:spacing w:after="0" w:line="294" w:lineRule="auto"/>
        <w:tabs>
          <w:tab w:leader="none" w:pos="2185" w:val="left"/>
        </w:tabs>
        <w:numPr>
          <w:ilvl w:val="1"/>
          <w:numId w:val="96"/>
        </w:numPr>
        <w:rPr>
          <w:rFonts w:ascii="Arial" w:cs="Arial" w:eastAsia="Arial" w:hAnsi="Arial"/>
          <w:sz w:val="19"/>
          <w:szCs w:val="19"/>
          <w:color w:val="auto"/>
        </w:rPr>
      </w:pPr>
      <w:r>
        <w:rPr>
          <w:rFonts w:ascii="Arial" w:cs="Arial" w:eastAsia="Arial" w:hAnsi="Arial"/>
          <w:sz w:val="19"/>
          <w:szCs w:val="19"/>
          <w:color w:val="auto"/>
        </w:rPr>
        <w:t>As promptly as practicable after each Exercise Date, the number of whole shares of Common Stock purchased by each Participant upon exercise of his or her Option shall be deposited into an account established in the participant’s name with the Broker. Such shares shall remain in the account until the second anniversary of the Grant Date applicable to the shares. Notwithstanding the above, a Participant may request that the Broker sell any or all of his or her shares of Common Stock at any time, without affecting the Participant’s participation in the Plan, and the Participant shall pay all charges therefore, including brokerage commissions.</w:t>
      </w:r>
    </w:p>
    <w:p>
      <w:pPr>
        <w:spacing w:after="0" w:line="190" w:lineRule="exact"/>
        <w:rPr>
          <w:rFonts w:ascii="Arial" w:cs="Arial" w:eastAsia="Arial" w:hAnsi="Arial"/>
          <w:sz w:val="19"/>
          <w:szCs w:val="19"/>
          <w:color w:val="auto"/>
        </w:rPr>
      </w:pPr>
    </w:p>
    <w:p>
      <w:pPr>
        <w:ind w:left="880" w:right="140" w:firstLine="654"/>
        <w:spacing w:after="0" w:line="248" w:lineRule="auto"/>
        <w:tabs>
          <w:tab w:leader="none" w:pos="2173" w:val="left"/>
        </w:tabs>
        <w:numPr>
          <w:ilvl w:val="1"/>
          <w:numId w:val="96"/>
        </w:numPr>
        <w:rPr>
          <w:rFonts w:ascii="Arial" w:cs="Arial" w:eastAsia="Arial" w:hAnsi="Arial"/>
          <w:sz w:val="22"/>
          <w:szCs w:val="22"/>
          <w:color w:val="auto"/>
        </w:rPr>
      </w:pPr>
      <w:r>
        <w:rPr>
          <w:rFonts w:ascii="Arial" w:cs="Arial" w:eastAsia="Arial" w:hAnsi="Arial"/>
          <w:sz w:val="22"/>
          <w:szCs w:val="22"/>
          <w:color w:val="auto"/>
        </w:rPr>
        <w:t>Following the second anniversary of the Grant Date applicable to shares of Common Stock, a Participant may request that certificates representing such shares purchased be issued in the Participant’s name and delivered to the Participant or the Participant’s agent, and the Participant shall pay any charges therefor. No certificates for fractional shares shall be issued. In lieu of any such fractional share, the Participant will receive a cash payment based on the Fair Market Value of a share of Common Stock.</w:t>
      </w:r>
    </w:p>
    <w:p>
      <w:pPr>
        <w:spacing w:after="0" w:line="232" w:lineRule="exact"/>
        <w:rPr>
          <w:rFonts w:ascii="Arial" w:cs="Arial" w:eastAsia="Arial" w:hAnsi="Arial"/>
          <w:sz w:val="22"/>
          <w:szCs w:val="22"/>
          <w:color w:val="auto"/>
        </w:rPr>
      </w:pPr>
    </w:p>
    <w:p>
      <w:pPr>
        <w:ind w:left="880" w:right="40" w:firstLine="654"/>
        <w:spacing w:after="0" w:line="294" w:lineRule="auto"/>
        <w:tabs>
          <w:tab w:leader="none" w:pos="2185" w:val="left"/>
        </w:tabs>
        <w:numPr>
          <w:ilvl w:val="1"/>
          <w:numId w:val="96"/>
        </w:numPr>
        <w:rPr>
          <w:rFonts w:ascii="Arial" w:cs="Arial" w:eastAsia="Arial" w:hAnsi="Arial"/>
          <w:sz w:val="19"/>
          <w:szCs w:val="19"/>
          <w:color w:val="auto"/>
        </w:rPr>
      </w:pPr>
      <w:r>
        <w:rPr>
          <w:rFonts w:ascii="Arial" w:cs="Arial" w:eastAsia="Arial" w:hAnsi="Arial"/>
          <w:sz w:val="19"/>
          <w:szCs w:val="19"/>
          <w:color w:val="auto"/>
        </w:rPr>
        <w:t>Cash dividends and other cash distributions on shares of Common Stock held in the custody of the Broker are credited to the account of the Participant, and the Participant may, at his own expense, take a distribution of such dividend or distribution or request the Broker to purchase additional shares of Common Stock on the open market. Any dividends paid in Common Stock or any splits of the Common Stock on shares held in custody will be allocated to each Participant in accordance with his or her interest in the shares on which the dividends are paid, or with respect to which the stock split occurs. Any other securities or subscription rights distributed 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B- 8</w:t>
      </w:r>
    </w:p>
    <w:p>
      <w:pPr>
        <w:sectPr>
          <w:pgSz w:w="11900" w:h="16838" w:orient="portrait"/>
          <w:cols w:equalWidth="0" w:num="1">
            <w:col w:w="11400"/>
          </w:cols>
          <w:pgMar w:left="240" w:top="585" w:right="259" w:bottom="1440" w:gutter="0" w:footer="0" w:header="0"/>
        </w:sectPr>
      </w:pPr>
    </w:p>
    <w:bookmarkStart w:id="78" w:name="page79"/>
    <w:bookmarkEnd w:id="78"/>
    <w:p>
      <w:pPr>
        <w:ind w:left="880" w:right="320"/>
        <w:spacing w:after="0" w:line="263" w:lineRule="auto"/>
        <w:rPr>
          <w:sz w:val="20"/>
          <w:szCs w:val="20"/>
          <w:color w:val="auto"/>
        </w:rPr>
      </w:pPr>
      <w:r>
        <w:rPr>
          <w:rFonts w:ascii="Arial" w:cs="Arial" w:eastAsia="Arial" w:hAnsi="Arial"/>
          <w:sz w:val="22"/>
          <w:szCs w:val="22"/>
          <w:color w:val="auto"/>
        </w:rPr>
        <w:t>shares of Common Stock may be retained or sold by the Participant, and, in the event of such sale the Participant shall pay all charges therefor, including but not limited to brokerage commissions.</w:t>
      </w:r>
    </w:p>
    <w:p>
      <w:pPr>
        <w:spacing w:after="0" w:line="215" w:lineRule="exact"/>
        <w:rPr>
          <w:sz w:val="20"/>
          <w:szCs w:val="20"/>
          <w:color w:val="auto"/>
        </w:rPr>
      </w:pPr>
    </w:p>
    <w:p>
      <w:pPr>
        <w:jc w:val="both"/>
        <w:ind w:left="880" w:right="40" w:firstLine="654"/>
        <w:spacing w:after="0" w:line="343" w:lineRule="auto"/>
        <w:tabs>
          <w:tab w:leader="none" w:pos="2173" w:val="left"/>
        </w:tabs>
        <w:numPr>
          <w:ilvl w:val="0"/>
          <w:numId w:val="97"/>
        </w:numPr>
        <w:rPr>
          <w:rFonts w:ascii="Arial" w:cs="Arial" w:eastAsia="Arial" w:hAnsi="Arial"/>
          <w:sz w:val="19"/>
          <w:szCs w:val="19"/>
          <w:color w:val="auto"/>
        </w:rPr>
      </w:pPr>
      <w:r>
        <w:rPr>
          <w:rFonts w:ascii="Arial" w:cs="Arial" w:eastAsia="Arial" w:hAnsi="Arial"/>
          <w:sz w:val="19"/>
          <w:szCs w:val="19"/>
          <w:color w:val="auto"/>
        </w:rPr>
        <w:t>Each Participant shall receive from the Broker statements of account that itemize the transactions from his or her account quarterly, and shall also receive confirmations of current transactions as required by regulatory authorities.</w:t>
      </w:r>
    </w:p>
    <w:p>
      <w:pPr>
        <w:spacing w:after="0" w:line="145" w:lineRule="exact"/>
        <w:rPr>
          <w:rFonts w:ascii="Arial" w:cs="Arial" w:eastAsia="Arial" w:hAnsi="Arial"/>
          <w:sz w:val="19"/>
          <w:szCs w:val="19"/>
          <w:color w:val="auto"/>
        </w:rPr>
      </w:pPr>
    </w:p>
    <w:p>
      <w:pPr>
        <w:ind w:left="880" w:right="60" w:firstLine="654"/>
        <w:spacing w:after="0" w:line="302" w:lineRule="auto"/>
        <w:tabs>
          <w:tab w:leader="none" w:pos="2149"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Broker shall deliver to each Participant as promptly as practicable, by mail or otherwise, all notices of meetings, proxy statements and other material distributed by the Company to its stockholders. The whole shares of Common Stock in each Participant’s account will be voted in accordance with the Participant’s signed proxy instructions duly delivered to the Broker, or otherwise in accordance with applicable stock exchange rules.</w:t>
      </w:r>
    </w:p>
    <w:p>
      <w:pPr>
        <w:spacing w:after="0" w:line="177" w:lineRule="exact"/>
        <w:rPr>
          <w:sz w:val="20"/>
          <w:szCs w:val="20"/>
          <w:color w:val="auto"/>
        </w:rPr>
      </w:pPr>
    </w:p>
    <w:p>
      <w:pPr>
        <w:ind w:left="1580" w:hanging="924"/>
        <w:spacing w:after="0"/>
        <w:tabs>
          <w:tab w:leader="none" w:pos="1580" w:val="left"/>
        </w:tabs>
        <w:numPr>
          <w:ilvl w:val="0"/>
          <w:numId w:val="98"/>
        </w:numPr>
        <w:rPr>
          <w:rFonts w:ascii="Arial" w:cs="Arial" w:eastAsia="Arial" w:hAnsi="Arial"/>
          <w:sz w:val="22"/>
          <w:szCs w:val="22"/>
          <w:color w:val="auto"/>
        </w:rPr>
      </w:pPr>
      <w:r>
        <w:rPr>
          <w:rFonts w:ascii="Arial" w:cs="Arial" w:eastAsia="Arial" w:hAnsi="Arial"/>
          <w:sz w:val="22"/>
          <w:szCs w:val="22"/>
          <w:b w:val="1"/>
          <w:bCs w:val="1"/>
          <w:color w:val="auto"/>
        </w:rPr>
        <w:t>Transferability</w:t>
      </w:r>
      <w:r>
        <w:rPr>
          <w:rFonts w:ascii="Arial" w:cs="Arial" w:eastAsia="Arial" w:hAnsi="Arial"/>
          <w:sz w:val="22"/>
          <w:szCs w:val="22"/>
          <w:color w:val="auto"/>
        </w:rPr>
        <w:t>.</w:t>
      </w:r>
    </w:p>
    <w:p>
      <w:pPr>
        <w:spacing w:after="0" w:line="266"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No Option may be transferred, assigned, pledged, or hypothecated (whether by operation of law or otherwise), except as provided by will or the applicable laws of descent or distribution, and no Option shall be subject to execution, attachment or similar process. Any attempted assignment, transfer, pledge, hypothecation or other disposition of an Option, or levy of attachment or similar process upon the Option not specifically permitted herein shall be null and void and without effect. An Option may be exercised only by the Eligible Employee during his or her lifetime.</w:t>
      </w:r>
    </w:p>
    <w:p>
      <w:pPr>
        <w:spacing w:after="0" w:line="210" w:lineRule="exact"/>
        <w:rPr>
          <w:sz w:val="20"/>
          <w:szCs w:val="20"/>
          <w:color w:val="auto"/>
        </w:rPr>
      </w:pPr>
    </w:p>
    <w:p>
      <w:pPr>
        <w:ind w:left="1580" w:hanging="924"/>
        <w:spacing w:after="0"/>
        <w:tabs>
          <w:tab w:leader="none" w:pos="1580" w:val="left"/>
        </w:tabs>
        <w:numPr>
          <w:ilvl w:val="0"/>
          <w:numId w:val="99"/>
        </w:numPr>
        <w:rPr>
          <w:rFonts w:ascii="Arial" w:cs="Arial" w:eastAsia="Arial" w:hAnsi="Arial"/>
          <w:sz w:val="22"/>
          <w:szCs w:val="22"/>
          <w:color w:val="auto"/>
        </w:rPr>
      </w:pPr>
      <w:r>
        <w:rPr>
          <w:rFonts w:ascii="Arial" w:cs="Arial" w:eastAsia="Arial" w:hAnsi="Arial"/>
          <w:sz w:val="22"/>
          <w:szCs w:val="22"/>
          <w:b w:val="1"/>
          <w:bCs w:val="1"/>
          <w:color w:val="auto"/>
        </w:rPr>
        <w:t>Adjustment Provisions</w:t>
      </w:r>
      <w:r>
        <w:rPr>
          <w:rFonts w:ascii="Arial" w:cs="Arial" w:eastAsia="Arial" w:hAnsi="Arial"/>
          <w:sz w:val="22"/>
          <w:szCs w:val="22"/>
          <w:color w:val="auto"/>
        </w:rPr>
        <w:t>.</w:t>
      </w:r>
    </w:p>
    <w:p>
      <w:pPr>
        <w:spacing w:after="0" w:line="26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The aggregate number of shares of Common Stock with respect to which Options may be granted, the aggregate number of shares of Common Stock subject to each outstanding Option, and the Option Price per share of each Option shall all be appropriately adjusted as the Plan Administrator may determine for any increase or decrease in the number of shares of issued Common Stock resulting from a subdivision or consolidation of shares, whether through reorganization, recapitalization, stock split, stock distribution or combination of shares, or the payment of a share dividend or other increase or decrease in the number of such shares outstanding effected without receipt of consideration by the Company. Adjustments under this Section 13 shall be made according to the sole discretion of the Plan Administrator, and its decision shall be conclusive and binding on all parties.</w:t>
      </w:r>
    </w:p>
    <w:p>
      <w:pPr>
        <w:spacing w:after="0" w:line="192" w:lineRule="exact"/>
        <w:rPr>
          <w:sz w:val="20"/>
          <w:szCs w:val="20"/>
          <w:color w:val="auto"/>
        </w:rPr>
      </w:pPr>
    </w:p>
    <w:p>
      <w:pPr>
        <w:jc w:val="both"/>
        <w:ind w:right="640" w:firstLine="648"/>
        <w:spacing w:after="0" w:line="312" w:lineRule="auto"/>
        <w:rPr>
          <w:sz w:val="20"/>
          <w:szCs w:val="20"/>
          <w:color w:val="auto"/>
        </w:rPr>
      </w:pPr>
      <w:r>
        <w:rPr>
          <w:rFonts w:ascii="Arial" w:cs="Arial" w:eastAsia="Arial" w:hAnsi="Arial"/>
          <w:sz w:val="19"/>
          <w:szCs w:val="19"/>
          <w:color w:val="auto"/>
        </w:rPr>
        <w:t>It is intended that, if possible, any adjustments contemplated under this Section 13 be made in a manner that satisfies applicable legal, tax (including, without limitation and as applicable in the circumstances, Code Sections 424 and 409A) and accounting (so as to not trigger any charge to earnings with respect to such adjustment) requirements.</w:t>
      </w:r>
    </w:p>
    <w:p>
      <w:pPr>
        <w:spacing w:after="0" w:line="168" w:lineRule="exact"/>
        <w:rPr>
          <w:sz w:val="20"/>
          <w:szCs w:val="20"/>
          <w:color w:val="auto"/>
        </w:rPr>
      </w:pPr>
    </w:p>
    <w:p>
      <w:pPr>
        <w:ind w:left="1580" w:hanging="924"/>
        <w:spacing w:after="0"/>
        <w:tabs>
          <w:tab w:leader="none" w:pos="1580" w:val="left"/>
        </w:tabs>
        <w:numPr>
          <w:ilvl w:val="0"/>
          <w:numId w:val="100"/>
        </w:numPr>
        <w:rPr>
          <w:rFonts w:ascii="Arial" w:cs="Arial" w:eastAsia="Arial" w:hAnsi="Arial"/>
          <w:sz w:val="22"/>
          <w:szCs w:val="22"/>
          <w:color w:val="auto"/>
        </w:rPr>
      </w:pPr>
      <w:r>
        <w:rPr>
          <w:rFonts w:ascii="Arial" w:cs="Arial" w:eastAsia="Arial" w:hAnsi="Arial"/>
          <w:sz w:val="22"/>
          <w:szCs w:val="22"/>
          <w:b w:val="1"/>
          <w:bCs w:val="1"/>
          <w:color w:val="auto"/>
        </w:rPr>
        <w:t>Dissolution, Merger and Consolidation</w:t>
      </w:r>
      <w:r>
        <w:rPr>
          <w:rFonts w:ascii="Arial" w:cs="Arial" w:eastAsia="Arial" w:hAnsi="Arial"/>
          <w:sz w:val="22"/>
          <w:szCs w:val="22"/>
          <w:color w:val="auto"/>
        </w:rPr>
        <w:t>.</w:t>
      </w:r>
    </w:p>
    <w:p>
      <w:pPr>
        <w:spacing w:after="0" w:line="266"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Upon the dissolution or liquidation of the Company, or upon a merger or consolidation of the Company in which the Company is not the surviving corporation, each Option granted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B- 9</w:t>
      </w:r>
    </w:p>
    <w:p>
      <w:pPr>
        <w:sectPr>
          <w:pgSz w:w="11900" w:h="16838" w:orient="portrait"/>
          <w:cols w:equalWidth="0" w:num="1">
            <w:col w:w="11420"/>
          </w:cols>
          <w:pgMar w:left="240" w:top="591" w:right="239" w:bottom="1440" w:gutter="0" w:footer="0" w:header="0"/>
        </w:sectPr>
      </w:pPr>
    </w:p>
    <w:bookmarkStart w:id="79" w:name="page80"/>
    <w:bookmarkEnd w:id="79"/>
    <w:p>
      <w:pPr>
        <w:ind w:right="300"/>
        <w:spacing w:after="0" w:line="263" w:lineRule="auto"/>
        <w:rPr>
          <w:sz w:val="20"/>
          <w:szCs w:val="20"/>
          <w:color w:val="auto"/>
        </w:rPr>
      </w:pPr>
      <w:r>
        <w:rPr>
          <w:rFonts w:ascii="Arial" w:cs="Arial" w:eastAsia="Arial" w:hAnsi="Arial"/>
          <w:sz w:val="22"/>
          <w:szCs w:val="22"/>
          <w:color w:val="auto"/>
        </w:rPr>
        <w:t>hereunder shall expire as of the effective date of such transaction and all amounts contributed to a Participant’s Deposit Account since the last Exercise Date shall be returned.</w:t>
      </w:r>
    </w:p>
    <w:p>
      <w:pPr>
        <w:spacing w:after="0" w:line="209" w:lineRule="exact"/>
        <w:rPr>
          <w:sz w:val="20"/>
          <w:szCs w:val="20"/>
          <w:color w:val="auto"/>
        </w:rPr>
      </w:pPr>
    </w:p>
    <w:p>
      <w:pPr>
        <w:jc w:val="both"/>
        <w:ind w:left="660" w:right="6520" w:hanging="4"/>
        <w:spacing w:after="0" w:line="567" w:lineRule="auto"/>
        <w:tabs>
          <w:tab w:leader="none" w:pos="1578" w:val="left"/>
        </w:tabs>
        <w:numPr>
          <w:ilvl w:val="0"/>
          <w:numId w:val="101"/>
        </w:numPr>
        <w:rPr>
          <w:rFonts w:ascii="Arial" w:cs="Arial" w:eastAsia="Arial" w:hAnsi="Arial"/>
          <w:sz w:val="19"/>
          <w:szCs w:val="19"/>
          <w:color w:val="auto"/>
        </w:rPr>
      </w:pPr>
      <w:r>
        <w:rPr>
          <w:rFonts w:ascii="Arial" w:cs="Arial" w:eastAsia="Arial" w:hAnsi="Arial"/>
          <w:sz w:val="19"/>
          <w:szCs w:val="19"/>
          <w:b w:val="1"/>
          <w:bCs w:val="1"/>
          <w:color w:val="auto"/>
        </w:rPr>
        <w:t>Additional Limitations on Options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the Plan:</w:t>
      </w:r>
    </w:p>
    <w:p>
      <w:pPr>
        <w:ind w:left="880" w:right="120" w:firstLine="654"/>
        <w:spacing w:after="0" w:line="263" w:lineRule="auto"/>
        <w:tabs>
          <w:tab w:leader="none" w:pos="2173" w:val="left"/>
        </w:tabs>
        <w:numPr>
          <w:ilvl w:val="1"/>
          <w:numId w:val="101"/>
        </w:numPr>
        <w:rPr>
          <w:rFonts w:ascii="Arial" w:cs="Arial" w:eastAsia="Arial" w:hAnsi="Arial"/>
          <w:sz w:val="21"/>
          <w:szCs w:val="21"/>
          <w:color w:val="auto"/>
        </w:rPr>
      </w:pPr>
      <w:r>
        <w:rPr>
          <w:rFonts w:ascii="Arial" w:cs="Arial" w:eastAsia="Arial" w:hAnsi="Arial"/>
          <w:sz w:val="21"/>
          <w:szCs w:val="21"/>
          <w:color w:val="auto"/>
        </w:rPr>
        <w:t>The Company intends that Options granted and Common Stock issued under the Section 423 Component of the Plan shall be treated for all purposes as granted and issued under an employee stock purchase plan within the meaning of Code Section 423 and regulations issued thereunder. Any provisions required to be included in the Section 423 Component of the Plan under said Section and regulations issued thereunder are hereby included as fully as though set forth in the Section 423 Component of the Plan at-length.</w:t>
      </w:r>
    </w:p>
    <w:p>
      <w:pPr>
        <w:spacing w:after="0" w:line="216" w:lineRule="exact"/>
        <w:rPr>
          <w:rFonts w:ascii="Arial" w:cs="Arial" w:eastAsia="Arial" w:hAnsi="Arial"/>
          <w:sz w:val="21"/>
          <w:szCs w:val="21"/>
          <w:color w:val="auto"/>
        </w:rPr>
      </w:pPr>
    </w:p>
    <w:p>
      <w:pPr>
        <w:ind w:left="880" w:right="100" w:firstLine="654"/>
        <w:spacing w:after="0" w:line="297" w:lineRule="auto"/>
        <w:tabs>
          <w:tab w:leader="none" w:pos="2185" w:val="left"/>
        </w:tabs>
        <w:numPr>
          <w:ilvl w:val="1"/>
          <w:numId w:val="101"/>
        </w:numPr>
        <w:rPr>
          <w:rFonts w:ascii="Arial" w:cs="Arial" w:eastAsia="Arial" w:hAnsi="Arial"/>
          <w:sz w:val="19"/>
          <w:szCs w:val="19"/>
          <w:color w:val="auto"/>
        </w:rPr>
      </w:pPr>
      <w:r>
        <w:rPr>
          <w:rFonts w:ascii="Arial" w:cs="Arial" w:eastAsia="Arial" w:hAnsi="Arial"/>
          <w:sz w:val="19"/>
          <w:szCs w:val="19"/>
          <w:color w:val="auto"/>
        </w:rPr>
        <w:t>No Eligible Employee shall be granted an Option under the Plan if, immediately after the Option was granted, the Eligible Employee would own stock possessing five percent or more of the total combined voting power or value of all classes of stock of the Company or of any parent or Subsidiary of the Company. For purposes of this Section 15(b), stock ownership of an individual shall be determined under the rules of Code Section 424(d) and stock which the Eligible Employee may purchase under outstanding options shall be treated as stock owned by the Eligible Employee.</w:t>
      </w:r>
    </w:p>
    <w:p>
      <w:pPr>
        <w:spacing w:after="0" w:line="187" w:lineRule="exact"/>
        <w:rPr>
          <w:rFonts w:ascii="Arial" w:cs="Arial" w:eastAsia="Arial" w:hAnsi="Arial"/>
          <w:sz w:val="19"/>
          <w:szCs w:val="19"/>
          <w:color w:val="auto"/>
        </w:rPr>
      </w:pPr>
    </w:p>
    <w:p>
      <w:pPr>
        <w:ind w:left="880" w:firstLine="654"/>
        <w:spacing w:after="0" w:line="259" w:lineRule="auto"/>
        <w:tabs>
          <w:tab w:leader="none" w:pos="2173" w:val="left"/>
        </w:tabs>
        <w:numPr>
          <w:ilvl w:val="1"/>
          <w:numId w:val="101"/>
        </w:numPr>
        <w:rPr>
          <w:rFonts w:ascii="Arial" w:cs="Arial" w:eastAsia="Arial" w:hAnsi="Arial"/>
          <w:sz w:val="21"/>
          <w:szCs w:val="21"/>
          <w:color w:val="auto"/>
        </w:rPr>
      </w:pPr>
      <w:r>
        <w:rPr>
          <w:rFonts w:ascii="Arial" w:cs="Arial" w:eastAsia="Arial" w:hAnsi="Arial"/>
          <w:sz w:val="21"/>
          <w:szCs w:val="21"/>
          <w:color w:val="auto"/>
        </w:rPr>
        <w:t>All Eligible Employees participating in the Section 423 Component of the Plan or in a separate offering under the Section 423 Component shall have the same rights and privileges under the Section 423 Component of the Plan or offering in accordance with Code Section 423(b) and regulations issued thereunder. All rules and determinations of the Plan Administrator regarding the administration of the Plan and each offering shall be uniformly and consistently applied to all persons in similar circumstances. Each period beginning on a Grant Date and ending on the applicable Exercise Date shall qualify as an “offering” under Code Section 423, and each such offering applicable to the Company and the respective Designated Subsidiaries shall be deemed separate offerings under Code Section 423 and regulations issued thereunder.</w:t>
      </w:r>
    </w:p>
    <w:p>
      <w:pPr>
        <w:spacing w:after="0" w:line="224" w:lineRule="exact"/>
        <w:rPr>
          <w:rFonts w:ascii="Arial" w:cs="Arial" w:eastAsia="Arial" w:hAnsi="Arial"/>
          <w:sz w:val="21"/>
          <w:szCs w:val="21"/>
          <w:color w:val="auto"/>
        </w:rPr>
      </w:pPr>
    </w:p>
    <w:p>
      <w:pPr>
        <w:ind w:left="880" w:right="260" w:firstLine="654"/>
        <w:spacing w:after="0" w:line="263" w:lineRule="auto"/>
        <w:tabs>
          <w:tab w:leader="none" w:pos="2185" w:val="left"/>
        </w:tabs>
        <w:numPr>
          <w:ilvl w:val="1"/>
          <w:numId w:val="101"/>
        </w:numPr>
        <w:rPr>
          <w:rFonts w:ascii="Arial" w:cs="Arial" w:eastAsia="Arial" w:hAnsi="Arial"/>
          <w:sz w:val="21"/>
          <w:szCs w:val="21"/>
          <w:color w:val="auto"/>
        </w:rPr>
      </w:pPr>
      <w:r>
        <w:rPr>
          <w:rFonts w:ascii="Arial" w:cs="Arial" w:eastAsia="Arial" w:hAnsi="Arial"/>
          <w:sz w:val="21"/>
          <w:szCs w:val="21"/>
          <w:color w:val="auto"/>
        </w:rPr>
        <w:t>If a Participant receives a distribution from a Code Section 401(k) plan maintained by the Company (or any other entity affiliated with the Company under Code Section 414) on account of a financial hardship (a “Hardship Withdrawal”) and it is intended that the Hardship Withdrawal satisfy the safe harbor contained in the Code Section 401(k) regulations, the Participant shall be considered to have withdrawn from the Plan and shall be precluded from making any Contributions to the Plan for at least six months.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B- 10</w:t>
      </w:r>
    </w:p>
    <w:p>
      <w:pPr>
        <w:sectPr>
          <w:pgSz w:w="11900" w:h="16838" w:orient="portrait"/>
          <w:cols w:equalWidth="0" w:num="1">
            <w:col w:w="11400"/>
          </w:cols>
          <w:pgMar w:left="240" w:top="591" w:right="259" w:bottom="1440" w:gutter="0" w:footer="0" w:header="0"/>
        </w:sectPr>
      </w:pPr>
    </w:p>
    <w:bookmarkStart w:id="80" w:name="page81"/>
    <w:bookmarkEnd w:id="80"/>
    <w:p>
      <w:pPr>
        <w:ind w:left="924" w:hanging="924"/>
        <w:spacing w:after="0"/>
        <w:tabs>
          <w:tab w:leader="none" w:pos="924" w:val="left"/>
        </w:tabs>
        <w:numPr>
          <w:ilvl w:val="0"/>
          <w:numId w:val="102"/>
        </w:numPr>
        <w:rPr>
          <w:rFonts w:ascii="Arial" w:cs="Arial" w:eastAsia="Arial" w:hAnsi="Arial"/>
          <w:sz w:val="22"/>
          <w:szCs w:val="22"/>
          <w:color w:val="auto"/>
        </w:rPr>
      </w:pPr>
      <w:r>
        <w:rPr>
          <w:rFonts w:ascii="Arial" w:cs="Arial" w:eastAsia="Arial" w:hAnsi="Arial"/>
          <w:sz w:val="22"/>
          <w:szCs w:val="22"/>
          <w:b w:val="1"/>
          <w:bCs w:val="1"/>
          <w:color w:val="auto"/>
        </w:rPr>
        <w:t>Withdrawal of Account</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ind w:left="1524" w:hanging="646"/>
        <w:spacing w:after="0"/>
        <w:tabs>
          <w:tab w:leader="none" w:pos="1524" w:val="left"/>
        </w:tabs>
        <w:numPr>
          <w:ilvl w:val="2"/>
          <w:numId w:val="102"/>
        </w:numPr>
        <w:rPr>
          <w:rFonts w:ascii="Arial" w:cs="Arial" w:eastAsia="Arial" w:hAnsi="Arial"/>
          <w:sz w:val="19"/>
          <w:szCs w:val="19"/>
          <w:color w:val="auto"/>
        </w:rPr>
      </w:pPr>
      <w:r>
        <w:rPr>
          <w:rFonts w:ascii="Arial" w:cs="Arial" w:eastAsia="Arial" w:hAnsi="Arial"/>
          <w:sz w:val="19"/>
          <w:szCs w:val="19"/>
          <w:color w:val="auto"/>
        </w:rPr>
        <w:t>By written notice to the Human Resources Department of the Company, at any time prior to and up to five</w:t>
      </w:r>
    </w:p>
    <w:p>
      <w:pPr>
        <w:spacing w:after="0" w:line="56" w:lineRule="exact"/>
        <w:rPr>
          <w:rFonts w:ascii="Arial" w:cs="Arial" w:eastAsia="Arial" w:hAnsi="Arial"/>
          <w:sz w:val="19"/>
          <w:szCs w:val="19"/>
          <w:color w:val="auto"/>
        </w:rPr>
      </w:pPr>
    </w:p>
    <w:p>
      <w:pPr>
        <w:ind w:left="224" w:firstLine="6"/>
        <w:spacing w:after="0" w:line="295" w:lineRule="auto"/>
        <w:tabs>
          <w:tab w:leader="none" w:pos="53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business days before the applicable Exercise Date with regards to a particular Grant Date (unless otherwise required by applicable law, as determined by the Plan Administrator), an employee may elect to withdraw all the accumulated Contributions in his Deposit Account without interest (unless otherwise required by applicable law, as determined by the Plan Administrator) at such time, and no further Contributions will be made from the employee’s pay for that Grant Date.</w:t>
      </w:r>
    </w:p>
    <w:p>
      <w:pPr>
        <w:spacing w:after="0" w:line="190" w:lineRule="exact"/>
        <w:rPr>
          <w:rFonts w:ascii="Arial" w:cs="Arial" w:eastAsia="Arial" w:hAnsi="Arial"/>
          <w:sz w:val="19"/>
          <w:szCs w:val="19"/>
          <w:color w:val="auto"/>
        </w:rPr>
      </w:pPr>
    </w:p>
    <w:p>
      <w:pPr>
        <w:jc w:val="both"/>
        <w:ind w:left="224" w:right="520" w:firstLine="654"/>
        <w:spacing w:after="0" w:line="250" w:lineRule="auto"/>
        <w:tabs>
          <w:tab w:leader="none" w:pos="1529" w:val="left"/>
        </w:tabs>
        <w:numPr>
          <w:ilvl w:val="2"/>
          <w:numId w:val="103"/>
        </w:numPr>
        <w:rPr>
          <w:rFonts w:ascii="Arial" w:cs="Arial" w:eastAsia="Arial" w:hAnsi="Arial"/>
          <w:sz w:val="22"/>
          <w:szCs w:val="22"/>
          <w:color w:val="auto"/>
        </w:rPr>
      </w:pPr>
      <w:r>
        <w:rPr>
          <w:rFonts w:ascii="Arial" w:cs="Arial" w:eastAsia="Arial" w:hAnsi="Arial"/>
          <w:sz w:val="22"/>
          <w:szCs w:val="22"/>
          <w:color w:val="auto"/>
        </w:rPr>
        <w:t>An employee’s withdrawal election for any Grant Date will not have any effect upon the employee’s eligibility to participate in any succeeding Grant Date or in any similar plan which may hereafter be adopted by the Company. Notwithstanding the foregoing, a former Participant may only resume participation by filing the required participation forms with the Company.</w:t>
      </w:r>
    </w:p>
    <w:p>
      <w:pPr>
        <w:spacing w:after="0" w:line="222" w:lineRule="exact"/>
        <w:rPr>
          <w:rFonts w:ascii="Arial" w:cs="Arial" w:eastAsia="Arial" w:hAnsi="Arial"/>
          <w:sz w:val="22"/>
          <w:szCs w:val="22"/>
          <w:color w:val="auto"/>
        </w:rPr>
      </w:pPr>
    </w:p>
    <w:p>
      <w:pPr>
        <w:ind w:left="924" w:hanging="924"/>
        <w:spacing w:after="0"/>
        <w:tabs>
          <w:tab w:leader="none" w:pos="924"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ind w:left="224" w:right="120" w:firstLine="654"/>
        <w:spacing w:after="0" w:line="248" w:lineRule="auto"/>
        <w:tabs>
          <w:tab w:leader="none" w:pos="1517" w:val="left"/>
        </w:tabs>
        <w:numPr>
          <w:ilvl w:val="2"/>
          <w:numId w:val="104"/>
        </w:numPr>
        <w:rPr>
          <w:rFonts w:ascii="Arial" w:cs="Arial" w:eastAsia="Arial" w:hAnsi="Arial"/>
          <w:sz w:val="22"/>
          <w:szCs w:val="22"/>
          <w:color w:val="auto"/>
        </w:rPr>
      </w:pPr>
      <w:r>
        <w:rPr>
          <w:rFonts w:ascii="Arial" w:cs="Arial" w:eastAsia="Arial" w:hAnsi="Arial"/>
          <w:sz w:val="22"/>
          <w:szCs w:val="22"/>
          <w:u w:val="single" w:color="auto"/>
          <w:color w:val="auto"/>
        </w:rPr>
        <w:t>Legal and Other Requirements</w:t>
      </w:r>
      <w:r>
        <w:rPr>
          <w:rFonts w:ascii="Arial" w:cs="Arial" w:eastAsia="Arial" w:hAnsi="Arial"/>
          <w:sz w:val="22"/>
          <w:szCs w:val="22"/>
          <w:color w:val="auto"/>
        </w:rPr>
        <w:t>. The obligations of the Company to sell and deliver Common Stock under the Plan shall be subject to all applicable laws, regulations, rules and approvals, including, but not by way of limitation, the effectiveness of a registration statement under the U.S. Securities Act of 1933 if deemed necessary or appropriate by the Company. Certificates for shares of Common Stock issued hereunder may be legended as the Plan Administrator shall deem appropriate.</w:t>
      </w:r>
    </w:p>
    <w:p>
      <w:pPr>
        <w:spacing w:after="0" w:line="232" w:lineRule="exact"/>
        <w:rPr>
          <w:rFonts w:ascii="Arial" w:cs="Arial" w:eastAsia="Arial" w:hAnsi="Arial"/>
          <w:sz w:val="22"/>
          <w:szCs w:val="22"/>
          <w:color w:val="auto"/>
        </w:rPr>
      </w:pPr>
    </w:p>
    <w:p>
      <w:pPr>
        <w:ind w:left="224" w:right="100" w:firstLine="654"/>
        <w:spacing w:after="0" w:line="263" w:lineRule="auto"/>
        <w:tabs>
          <w:tab w:leader="none" w:pos="1529" w:val="left"/>
        </w:tabs>
        <w:numPr>
          <w:ilvl w:val="2"/>
          <w:numId w:val="104"/>
        </w:numPr>
        <w:rPr>
          <w:rFonts w:ascii="Arial" w:cs="Arial" w:eastAsia="Arial" w:hAnsi="Arial"/>
          <w:sz w:val="22"/>
          <w:szCs w:val="22"/>
          <w:color w:val="auto"/>
        </w:rPr>
      </w:pPr>
      <w:r>
        <w:rPr>
          <w:rFonts w:ascii="Arial" w:cs="Arial" w:eastAsia="Arial" w:hAnsi="Arial"/>
          <w:sz w:val="22"/>
          <w:szCs w:val="22"/>
          <w:u w:val="single" w:color="auto"/>
          <w:color w:val="auto"/>
        </w:rPr>
        <w:t>No Obligation to Exercise Option</w:t>
      </w:r>
      <w:r>
        <w:rPr>
          <w:rFonts w:ascii="Arial" w:cs="Arial" w:eastAsia="Arial" w:hAnsi="Arial"/>
          <w:sz w:val="22"/>
          <w:szCs w:val="22"/>
          <w:color w:val="auto"/>
        </w:rPr>
        <w:t>. The granting of an Option shall impose no obligation upon an Eligible Employee to participate in the Plan or to exercise such Option.</w:t>
      </w:r>
    </w:p>
    <w:p>
      <w:pPr>
        <w:spacing w:after="0" w:line="215" w:lineRule="exact"/>
        <w:rPr>
          <w:rFonts w:ascii="Arial" w:cs="Arial" w:eastAsia="Arial" w:hAnsi="Arial"/>
          <w:sz w:val="22"/>
          <w:szCs w:val="22"/>
          <w:color w:val="auto"/>
        </w:rPr>
      </w:pPr>
    </w:p>
    <w:p>
      <w:pPr>
        <w:ind w:left="224" w:right="60" w:firstLine="654"/>
        <w:spacing w:after="0" w:line="290" w:lineRule="auto"/>
        <w:tabs>
          <w:tab w:leader="none" w:pos="1517" w:val="left"/>
        </w:tabs>
        <w:numPr>
          <w:ilvl w:val="2"/>
          <w:numId w:val="104"/>
        </w:numPr>
        <w:rPr>
          <w:rFonts w:ascii="Arial" w:cs="Arial" w:eastAsia="Arial" w:hAnsi="Arial"/>
          <w:sz w:val="19"/>
          <w:szCs w:val="19"/>
          <w:color w:val="auto"/>
        </w:rPr>
      </w:pPr>
      <w:r>
        <w:rPr>
          <w:rFonts w:ascii="Arial" w:cs="Arial" w:eastAsia="Arial" w:hAnsi="Arial"/>
          <w:sz w:val="19"/>
          <w:szCs w:val="19"/>
          <w:u w:val="single" w:color="auto"/>
          <w:color w:val="auto"/>
        </w:rPr>
        <w:t>Termination and Amendment of Plan</w:t>
      </w:r>
      <w:r>
        <w:rPr>
          <w:rFonts w:ascii="Arial" w:cs="Arial" w:eastAsia="Arial" w:hAnsi="Arial"/>
          <w:sz w:val="19"/>
          <w:szCs w:val="19"/>
          <w:color w:val="auto"/>
        </w:rPr>
        <w:t>. The Board, without further action on the part of the stockholders of the Company, may from time to time alter, amend or suspend the Plan or any Option granted hereunder or may at any time terminate the Plan, except that it may not (i) increase the authority of the Plan Administrator as provided herein; (ii) increase the total number of shares of Common Stock available for grant under the Plan (except to the extent provided in Section 13); (iii) effect a change applicable to the Section 423 Component of the Plan for which stockholder approval is required under Code Section 423; or (iv) effect a change inconsistent with Code Section 423 or regulations issued thereunder. No action taken by the Board under this Section may materially and adversely affect any outstanding Option without the consent of the holder thereof.</w:t>
      </w:r>
    </w:p>
    <w:p>
      <w:pPr>
        <w:spacing w:after="0" w:line="197" w:lineRule="exact"/>
        <w:rPr>
          <w:rFonts w:ascii="Arial" w:cs="Arial" w:eastAsia="Arial" w:hAnsi="Arial"/>
          <w:sz w:val="19"/>
          <w:szCs w:val="19"/>
          <w:color w:val="auto"/>
        </w:rPr>
      </w:pPr>
    </w:p>
    <w:p>
      <w:pPr>
        <w:ind w:left="224" w:right="100" w:firstLine="654"/>
        <w:spacing w:after="0" w:line="253" w:lineRule="auto"/>
        <w:tabs>
          <w:tab w:leader="none" w:pos="1529" w:val="left"/>
        </w:tabs>
        <w:numPr>
          <w:ilvl w:val="2"/>
          <w:numId w:val="104"/>
        </w:numPr>
        <w:rPr>
          <w:rFonts w:ascii="Arial" w:cs="Arial" w:eastAsia="Arial" w:hAnsi="Arial"/>
          <w:sz w:val="22"/>
          <w:szCs w:val="22"/>
          <w:color w:val="auto"/>
        </w:rPr>
      </w:pPr>
      <w:r>
        <w:rPr>
          <w:rFonts w:ascii="Arial" w:cs="Arial" w:eastAsia="Arial" w:hAnsi="Arial"/>
          <w:sz w:val="22"/>
          <w:szCs w:val="22"/>
          <w:u w:val="single" w:color="auto"/>
          <w:color w:val="auto"/>
        </w:rPr>
        <w:t>Use of Funds</w:t>
      </w:r>
      <w:r>
        <w:rPr>
          <w:rFonts w:ascii="Arial" w:cs="Arial" w:eastAsia="Arial" w:hAnsi="Arial"/>
          <w:sz w:val="22"/>
          <w:szCs w:val="22"/>
          <w:color w:val="auto"/>
        </w:rPr>
        <w:t>. All Contributions received by or held directly or indirectly by the Company under the Plan may be used by the Company for any corporate purpose, and the Company shall not be obligated to segregate or safeguard such Contributions.</w:t>
      </w:r>
    </w:p>
    <w:p>
      <w:pPr>
        <w:spacing w:after="0" w:line="207"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B- 11</w:t>
      </w:r>
    </w:p>
    <w:p>
      <w:pPr>
        <w:sectPr>
          <w:pgSz w:w="11900" w:h="16838" w:orient="portrait"/>
          <w:cols w:equalWidth="0" w:num="1">
            <w:col w:w="10744"/>
          </w:cols>
          <w:pgMar w:left="896" w:top="585" w:right="259" w:bottom="1440" w:gutter="0" w:footer="0" w:header="0"/>
        </w:sectPr>
      </w:pPr>
    </w:p>
    <w:bookmarkStart w:id="81" w:name="page82"/>
    <w:bookmarkEnd w:id="81"/>
    <w:p>
      <w:pPr>
        <w:ind w:left="-320" w:right="20" w:firstLine="654"/>
        <w:spacing w:after="0" w:line="259" w:lineRule="auto"/>
        <w:tabs>
          <w:tab w:leader="none" w:pos="973"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Withholding Taxes</w:t>
      </w:r>
      <w:r>
        <w:rPr>
          <w:rFonts w:ascii="Arial" w:cs="Arial" w:eastAsia="Arial" w:hAnsi="Arial"/>
          <w:sz w:val="21"/>
          <w:szCs w:val="21"/>
          <w:color w:val="auto"/>
        </w:rPr>
        <w:t>. Upon any taxable or tax withholding event under the Plan, the Company shall have the right to require the Participant to remit to the Company an amount sufficient to satisfy all federal, state and local withholding tax requirements prior to the delivery of any shares of Common Stock. If a Participant is subject to tax in the United States, has been granted an Option under the Section 423 Component of the Plan and makes a disqualifying disposition (pursuant to Code Section 423(a)) of shares acquired through exercise of the Participant’s Options under the Plan, the Participant shall promptly notify the Company and the Company shall have the right to require the Participant to pay to the Company any amounts necessary to satisfy any federal, state and local tax withholding requirements resulting from such disposition.</w:t>
      </w:r>
    </w:p>
    <w:p>
      <w:pPr>
        <w:spacing w:after="0" w:line="224" w:lineRule="exact"/>
        <w:rPr>
          <w:rFonts w:ascii="Arial" w:cs="Arial" w:eastAsia="Arial" w:hAnsi="Arial"/>
          <w:sz w:val="21"/>
          <w:szCs w:val="21"/>
          <w:color w:val="auto"/>
        </w:rPr>
      </w:pPr>
    </w:p>
    <w:p>
      <w:pPr>
        <w:ind w:left="-320" w:right="240" w:firstLine="654"/>
        <w:spacing w:after="0" w:line="250" w:lineRule="auto"/>
        <w:tabs>
          <w:tab w:leader="none" w:pos="949"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Right to Terminate Employment</w:t>
      </w:r>
      <w:r>
        <w:rPr>
          <w:rFonts w:ascii="Arial" w:cs="Arial" w:eastAsia="Arial" w:hAnsi="Arial"/>
          <w:sz w:val="22"/>
          <w:szCs w:val="22"/>
          <w:color w:val="auto"/>
        </w:rPr>
        <w:t>. Nothing in the Plan or any agreement entered into pursuant to the Plan shall confer upon any Eligible Employee the right to continue in the employment of the Company, any Subsidiary or Affiliate, or affect any right which the Company, any Subsidiary or Affiliate may have to terminate the employment of such Eligible Employee.</w:t>
      </w:r>
    </w:p>
    <w:p>
      <w:pPr>
        <w:spacing w:after="0" w:line="228" w:lineRule="exact"/>
        <w:rPr>
          <w:rFonts w:ascii="Arial" w:cs="Arial" w:eastAsia="Arial" w:hAnsi="Arial"/>
          <w:sz w:val="22"/>
          <w:szCs w:val="22"/>
          <w:color w:val="auto"/>
        </w:rPr>
      </w:pPr>
    </w:p>
    <w:p>
      <w:pPr>
        <w:jc w:val="both"/>
        <w:ind w:left="-320" w:firstLine="654"/>
        <w:spacing w:after="0" w:line="253" w:lineRule="auto"/>
        <w:tabs>
          <w:tab w:leader="none" w:pos="985"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No Eligible Employee shall have any right as a stockholder with respect to shares of Common Stock unless and until an Option with respect to such shares has been exercised and such shares of Common Stock purchased by the Eligible Employee are issued.</w:t>
      </w:r>
    </w:p>
    <w:p>
      <w:pPr>
        <w:spacing w:after="0" w:line="226" w:lineRule="exact"/>
        <w:rPr>
          <w:rFonts w:ascii="Arial" w:cs="Arial" w:eastAsia="Arial" w:hAnsi="Arial"/>
          <w:sz w:val="22"/>
          <w:szCs w:val="22"/>
          <w:color w:val="auto"/>
        </w:rPr>
      </w:pPr>
    </w:p>
    <w:p>
      <w:pPr>
        <w:ind w:left="-320" w:right="40" w:firstLine="654"/>
        <w:spacing w:after="0" w:line="294" w:lineRule="auto"/>
        <w:tabs>
          <w:tab w:leader="none" w:pos="985"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Leaves of Absence and Disability</w:t>
      </w:r>
      <w:r>
        <w:rPr>
          <w:rFonts w:ascii="Arial" w:cs="Arial" w:eastAsia="Arial" w:hAnsi="Arial"/>
          <w:sz w:val="19"/>
          <w:szCs w:val="19"/>
          <w:color w:val="auto"/>
        </w:rPr>
        <w:t>. Subject to applicable law, the Plan Administrator shall be entitled to make such rules, regulations and determinations as it deems appropriate under the Plan in respect to any leave of absence taken by or disability of any Eligible Employee. Without limiting the generality of the foregoing, the Plan Administrator shall be entitled to determine (i) whether or not any such leave of absence shall constitute a termination of employment within the meaning of the Plan, and (ii) the impact, if any, of any such leave of absence on Options under the Plan theretofore granted to any Eligible Employee who takes such leave of absence.</w:t>
      </w:r>
    </w:p>
    <w:p>
      <w:pPr>
        <w:spacing w:after="0" w:line="190" w:lineRule="exact"/>
        <w:rPr>
          <w:rFonts w:ascii="Arial" w:cs="Arial" w:eastAsia="Arial" w:hAnsi="Arial"/>
          <w:sz w:val="19"/>
          <w:szCs w:val="19"/>
          <w:color w:val="auto"/>
        </w:rPr>
      </w:pPr>
    </w:p>
    <w:p>
      <w:pPr>
        <w:ind w:left="-320" w:firstLine="654"/>
        <w:spacing w:after="0" w:line="294" w:lineRule="auto"/>
        <w:tabs>
          <w:tab w:leader="none" w:pos="937"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Every direction, revocation or notice authorized or required by the Plan shall be deemed delivered to the Company (i) on the date it is personally delivered to the Plan Administrator at the Company’s principal executive offices or (ii) three business days after it is sent by registered or certified mail, postage prepaid, addressed to the Plan Administrator at such offices; and shall be deemed delivered to an optionee (A) on the date it is personally delivered to him or her or (B) three business days after it is sent by registered or certified mail, postage prepaid, addressed to him or her at the last address shown for him or her on the records of the Company or of any Subsidiary or Affiliate.</w:t>
      </w:r>
    </w:p>
    <w:p>
      <w:pPr>
        <w:spacing w:after="0" w:line="190" w:lineRule="exact"/>
        <w:rPr>
          <w:rFonts w:ascii="Arial" w:cs="Arial" w:eastAsia="Arial" w:hAnsi="Arial"/>
          <w:sz w:val="19"/>
          <w:szCs w:val="19"/>
          <w:color w:val="auto"/>
        </w:rPr>
      </w:pPr>
    </w:p>
    <w:p>
      <w:pPr>
        <w:ind w:left="-320" w:right="240" w:firstLine="654"/>
        <w:spacing w:after="0" w:line="250" w:lineRule="auto"/>
        <w:tabs>
          <w:tab w:leader="none" w:pos="937"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All questions pertaining to the validity, construction and administration of the Plan and Options granted hereunder shall be determined in conformity with the laws of the State of Louisiana, United States of America, to the extent such laws are not inconsistent with Code Section 423 and regulations issued thereunder, and by the laws of the United States.</w:t>
      </w:r>
    </w:p>
    <w:p>
      <w:pPr>
        <w:spacing w:after="0" w:line="20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B- 12</w:t>
      </w:r>
    </w:p>
    <w:p>
      <w:pPr>
        <w:sectPr>
          <w:pgSz w:w="11900" w:h="16838" w:orient="portrait"/>
          <w:cols w:equalWidth="0" w:num="1">
            <w:col w:w="10200"/>
          </w:cols>
          <w:pgMar w:left="1440" w:top="591" w:right="259" w:bottom="1440" w:gutter="0" w:footer="0" w:header="0"/>
        </w:sectPr>
      </w:pPr>
    </w:p>
    <w:bookmarkStart w:id="82" w:name="page83"/>
    <w:bookmarkEnd w:id="82"/>
    <w:p>
      <w:pPr>
        <w:ind w:left="-320" w:firstLine="654"/>
        <w:spacing w:after="0" w:line="246" w:lineRule="auto"/>
        <w:tabs>
          <w:tab w:leader="none" w:pos="985"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Accommodation of Local Laws</w:t>
      </w:r>
      <w:r>
        <w:rPr>
          <w:rFonts w:ascii="Arial" w:cs="Arial" w:eastAsia="Arial" w:hAnsi="Arial"/>
          <w:sz w:val="22"/>
          <w:szCs w:val="22"/>
          <w:color w:val="auto"/>
        </w:rPr>
        <w:t>. The Plan Administrator may adopt rules or procedures relating to the operation and administration of the Plan to accommodate the specific requirements of local laws and regulations. With respect to the Non-Section 423 Component of the Plan, the Plan Administrator also may adopt rules, procedures and sub-plans applicable to particular Designated Companies or offerings, which may be designed to be within or outside the scope of Code Section 423, and such rules, procedures or sub-plans may take precedence over other provisions of the Plan. However, unless expressly superseded by the terms of such rules or procedures, the provisions of the Plan shall govern.</w:t>
      </w:r>
    </w:p>
    <w:p>
      <w:pPr>
        <w:spacing w:after="0" w:line="237" w:lineRule="exact"/>
        <w:rPr>
          <w:rFonts w:ascii="Arial" w:cs="Arial" w:eastAsia="Arial" w:hAnsi="Arial"/>
          <w:sz w:val="22"/>
          <w:szCs w:val="22"/>
          <w:color w:val="auto"/>
        </w:rPr>
      </w:pPr>
    </w:p>
    <w:p>
      <w:pPr>
        <w:ind w:left="-320" w:right="320" w:firstLine="654"/>
        <w:spacing w:after="0" w:line="294" w:lineRule="auto"/>
        <w:tabs>
          <w:tab w:leader="none" w:pos="937"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The Section 423 Component of the Plan is intended, and its provisions shall be interpreted and operated in accordance with such intent, to be exempt from the application of Code Section 409A as a stock right that does not provide for the deferral of compensation. Any Non-Section 423 Component of the Plan is intended, and its provisions shall be interpreted and operated in accordance with such intent, to be exempt from the application of Code Section 409A as a short-term deferral. However, the Company makes no representation that all Options granted and Common Stock received hereunder satisfy, or are exempt from, Code Section 409A.</w:t>
      </w:r>
    </w:p>
    <w:p>
      <w:pPr>
        <w:spacing w:after="0" w:line="200" w:lineRule="exact"/>
        <w:rPr>
          <w:sz w:val="20"/>
          <w:szCs w:val="20"/>
          <w:color w:val="auto"/>
        </w:rPr>
      </w:pPr>
    </w:p>
    <w:p>
      <w:pPr>
        <w:spacing w:after="0" w:line="22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B- 13</w:t>
      </w:r>
    </w:p>
    <w:p>
      <w:pPr>
        <w:sectPr>
          <w:pgSz w:w="11900" w:h="16838" w:orient="portrait"/>
          <w:cols w:equalWidth="0" w:num="1">
            <w:col w:w="10180"/>
          </w:cols>
          <w:pgMar w:left="1440" w:top="591" w:right="279" w:bottom="1440"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48985" cy="7855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985" cy="785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29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8985" cy="7529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4004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81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8985" cy="75812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lvl w:ilvl="1">
      <w:lvlJc w:val="left"/>
      <w:lvlText w:val="(%2)"/>
      <w:numFmt w:val="decimal"/>
      <w:start w:val="1"/>
    </w:lvl>
  </w:abstractNum>
  <w:abstractNum w:abstractNumId="3">
    <w:nsid w:val="23F9C13C"/>
    <w:multiLevelType w:val="hybridMultilevel"/>
    <w:lvl w:ilvl="0">
      <w:lvlJc w:val="left"/>
      <w:lvlText w:val="(%1)"/>
      <w:numFmt w:val="decimal"/>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1."/>
      <w:numFmt w:val="decimal"/>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1."/>
      <w:numFmt w:val="decimal"/>
      <w:start w:val="1"/>
    </w:lvl>
  </w:abstractNum>
  <w:abstractNum w:abstractNumId="8">
    <w:nsid w:val="180115BE"/>
    <w:multiLevelType w:val="hybridMultilevel"/>
    <w:lvl w:ilvl="0">
      <w:lvlJc w:val="left"/>
      <w:lvlText w:val="%1."/>
      <w:numFmt w:val="decimal"/>
      <w:start w:val="5"/>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1)"/>
      <w:numFmt w:val="lowerRoman"/>
      <w:start w:val="1"/>
    </w:lvl>
  </w:abstractNum>
  <w:abstractNum w:abstractNumId="14">
    <w:nsid w:val="D34B6A8"/>
    <w:multiLevelType w:val="hybridMultilevel"/>
    <w:lvl w:ilvl="0">
      <w:lvlJc w:val="left"/>
      <w:lvlText w:val="(%1)"/>
      <w:numFmt w:val="lowerRoman"/>
      <w:start w:val="1"/>
    </w:lvl>
  </w:abstractNum>
  <w:abstractNum w:abstractNumId="15">
    <w:nsid w:val="10233C99"/>
    <w:multiLevelType w:val="hybridMultilevel"/>
    <w:lvl w:ilvl="0">
      <w:lvlJc w:val="left"/>
      <w:lvlText w:val="(%1)"/>
      <w:numFmt w:val="decimal"/>
      <w:start w:val="1"/>
    </w:lvl>
  </w:abstractNum>
  <w:abstractNum w:abstractNumId="16">
    <w:nsid w:val="3F6AB60F"/>
    <w:multiLevelType w:val="hybridMultilevel"/>
    <w:lvl w:ilvl="0">
      <w:lvlJc w:val="left"/>
      <w:lvlText w:val="(%1)"/>
      <w:numFmt w:val="decimal"/>
      <w:start w:val="8"/>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1)"/>
      <w:numFmt w:val="decimal"/>
      <w:start w:val="1"/>
    </w:lvl>
  </w:abstractNum>
  <w:abstractNum w:abstractNumId="20">
    <w:nsid w:val="579BE4F1"/>
    <w:multiLevelType w:val="hybridMultilevel"/>
    <w:lvl w:ilvl="0">
      <w:lvlJc w:val="left"/>
      <w:lvlText w:val="(%1)"/>
      <w:numFmt w:val="decimal"/>
      <w:start w:val="2"/>
    </w:lvl>
  </w:abstractNum>
  <w:abstractNum w:abstractNumId="21">
    <w:nsid w:val="310C50B3"/>
    <w:multiLevelType w:val="hybridMultilevel"/>
    <w:lvl w:ilvl="0">
      <w:lvlJc w:val="left"/>
      <w:lvlText w:val="(%1)"/>
      <w:numFmt w:val="decimal"/>
      <w:start w:val="1"/>
    </w:lvl>
  </w:abstractNum>
  <w:abstractNum w:abstractNumId="22">
    <w:nsid w:val="5FF87E05"/>
    <w:multiLevelType w:val="hybridMultilevel"/>
    <w:lvl w:ilvl="0">
      <w:lvlJc w:val="left"/>
      <w:lvlText w:val="(%1)"/>
      <w:numFmt w:val="decimal"/>
      <w:start w:val="1"/>
    </w:lvl>
  </w:abstractNum>
  <w:abstractNum w:abstractNumId="23">
    <w:nsid w:val="2F305DEF"/>
    <w:multiLevelType w:val="hybridMultilevel"/>
    <w:lvl w:ilvl="0">
      <w:lvlJc w:val="left"/>
      <w:lvlText w:val="(%1)"/>
      <w:numFmt w:val="decimal"/>
      <w:start w:val="1"/>
    </w:lvl>
  </w:abstractNum>
  <w:abstractNum w:abstractNumId="24">
    <w:nsid w:val="25A70BF7"/>
    <w:multiLevelType w:val="hybridMultilevel"/>
    <w:lvl w:ilvl="0">
      <w:lvlJc w:val="left"/>
      <w:lvlText w:val="(%1)"/>
      <w:numFmt w:val="decimal"/>
      <w:start w:val="10"/>
    </w:lvl>
  </w:abstractNum>
  <w:abstractNum w:abstractNumId="25">
    <w:nsid w:val="1DBABF00"/>
    <w:multiLevelType w:val="hybridMultilevel"/>
    <w:lvl w:ilvl="0">
      <w:lvlJc w:val="left"/>
      <w:lvlText w:val="(%1)"/>
      <w:numFmt w:val="decimal"/>
      <w:start w:val="1"/>
    </w:lvl>
  </w:abstractNum>
  <w:abstractNum w:abstractNumId="26">
    <w:nsid w:val="4AD084E9"/>
    <w:multiLevelType w:val="hybridMultilevel"/>
    <w:lvl w:ilvl="0">
      <w:lvlJc w:val="left"/>
      <w:lvlText w:val="(%1)"/>
      <w:numFmt w:val="decimal"/>
      <w:start w:val="1"/>
    </w:lvl>
  </w:abstractNum>
  <w:abstractNum w:abstractNumId="27">
    <w:nsid w:val="1F48EAA1"/>
    <w:multiLevelType w:val="hybridMultilevel"/>
    <w:lvl w:ilvl="0">
      <w:lvlJc w:val="left"/>
      <w:lvlText w:val="%1."/>
      <w:numFmt w:val="decimal"/>
      <w:start w:val="1"/>
    </w:lvl>
  </w:abstractNum>
  <w:abstractNum w:abstractNumId="28">
    <w:nsid w:val="1381823A"/>
    <w:multiLevelType w:val="hybridMultilevel"/>
    <w:lvl w:ilvl="0">
      <w:lvlJc w:val="left"/>
      <w:lvlText w:val="%1."/>
      <w:numFmt w:val="decimal"/>
      <w:start w:val="2"/>
    </w:lvl>
  </w:abstractNum>
  <w:abstractNum w:abstractNumId="29">
    <w:nsid w:val="5DB70AE5"/>
    <w:multiLevelType w:val="hybridMultilevel"/>
    <w:lvl w:ilvl="0">
      <w:lvlJc w:val="left"/>
      <w:lvlText w:val="(%1)"/>
      <w:numFmt w:val="lowerLetter"/>
      <w:start w:val="1"/>
    </w:lvl>
  </w:abstractNum>
  <w:abstractNum w:abstractNumId="30">
    <w:nsid w:val="100F8FCA"/>
    <w:multiLevelType w:val="hybridMultilevel"/>
    <w:lvl w:ilvl="0">
      <w:lvlJc w:val="left"/>
      <w:lvlText w:val="(%1)"/>
      <w:numFmt w:val="lowerRoman"/>
      <w:start w:val="1"/>
    </w:lvl>
  </w:abstractNum>
  <w:abstractNum w:abstractNumId="31">
    <w:nsid w:val="6590700B"/>
    <w:multiLevelType w:val="hybridMultilevel"/>
    <w:lvl w:ilvl="0">
      <w:lvlJc w:val="left"/>
      <w:lvlText w:val="(%1)"/>
      <w:numFmt w:val="lowerRoman"/>
      <w:start w:val="2"/>
    </w:lvl>
  </w:abstractNum>
  <w:abstractNum w:abstractNumId="32">
    <w:nsid w:val="15014ACB"/>
    <w:multiLevelType w:val="hybridMultilevel"/>
    <w:lvl w:ilvl="0">
      <w:lvlJc w:val="left"/>
      <w:lvlText w:val="(%1)"/>
      <w:numFmt w:val="lowerLetter"/>
      <w:start w:val="7"/>
    </w:lvl>
  </w:abstractNum>
  <w:abstractNum w:abstractNumId="33">
    <w:nsid w:val="5F5E7FD0"/>
    <w:multiLevelType w:val="hybridMultilevel"/>
    <w:lvl w:ilvl="0">
      <w:lvlJc w:val="left"/>
      <w:lvlText w:val="(%1)"/>
      <w:numFmt w:val="lowerLetter"/>
      <w:start w:val="9"/>
    </w:lvl>
  </w:abstractNum>
  <w:abstractNum w:abstractNumId="34">
    <w:nsid w:val="98A3148"/>
    <w:multiLevelType w:val="hybridMultilevel"/>
    <w:lvl w:ilvl="0">
      <w:lvlJc w:val="left"/>
      <w:lvlText w:val="(%1)"/>
      <w:numFmt w:val="lowerLetter"/>
      <w:start w:val="17"/>
    </w:lvl>
    <w:lvl w:ilvl="1">
      <w:lvlJc w:val="left"/>
      <w:lvlText w:val="(%2)"/>
      <w:numFmt w:val="lowerRoman"/>
      <w:start w:val="1"/>
    </w:lvl>
  </w:abstractNum>
  <w:abstractNum w:abstractNumId="35">
    <w:nsid w:val="799D0247"/>
    <w:multiLevelType w:val="hybridMultilevel"/>
    <w:lvl w:ilvl="0">
      <w:lvlJc w:val="left"/>
      <w:lvlText w:val="(%1)"/>
      <w:numFmt w:val="lowerLetter"/>
      <w:start w:val="20"/>
    </w:lvl>
  </w:abstractNum>
  <w:abstractNum w:abstractNumId="36">
    <w:nsid w:val="6B94764"/>
    <w:multiLevelType w:val="hybridMultilevel"/>
    <w:lvl w:ilvl="0">
      <w:lvlJc w:val="left"/>
      <w:lvlText w:val="(%1)"/>
      <w:numFmt w:val="lowerLetter"/>
      <w:start w:val="23"/>
    </w:lvl>
  </w:abstractNum>
  <w:abstractNum w:abstractNumId="37">
    <w:nsid w:val="42C296BD"/>
    <w:multiLevelType w:val="hybridMultilevel"/>
    <w:lvl w:ilvl="0">
      <w:lvlJc w:val="left"/>
      <w:lvlText w:val="(%1)"/>
      <w:numFmt w:val="lowerLetter"/>
      <w:start w:val="27"/>
    </w:lvl>
  </w:abstractNum>
  <w:abstractNum w:abstractNumId="38">
    <w:nsid w:val="168E121F"/>
    <w:multiLevelType w:val="hybridMultilevel"/>
    <w:lvl w:ilvl="0">
      <w:lvlJc w:val="left"/>
      <w:lvlText w:val="(%1)"/>
      <w:numFmt w:val="lowerLetter"/>
      <w:start w:val="30"/>
    </w:lvl>
  </w:abstractNum>
  <w:abstractNum w:abstractNumId="39">
    <w:nsid w:val="1EBA5D23"/>
    <w:multiLevelType w:val="hybridMultilevel"/>
    <w:lvl w:ilvl="0">
      <w:lvlJc w:val="left"/>
      <w:lvlText w:val="(%1)"/>
      <w:numFmt w:val="lowerLetter"/>
      <w:start w:val="35"/>
    </w:lvl>
  </w:abstractNum>
  <w:abstractNum w:abstractNumId="40">
    <w:nsid w:val="661E3F1E"/>
    <w:multiLevelType w:val="hybridMultilevel"/>
    <w:lvl w:ilvl="0">
      <w:lvlJc w:val="left"/>
      <w:lvlText w:val="(%1)"/>
      <w:numFmt w:val="lowerLetter"/>
      <w:start w:val="43"/>
    </w:lvl>
  </w:abstractNum>
  <w:abstractNum w:abstractNumId="41">
    <w:nsid w:val="5DC79EA8"/>
    <w:multiLevelType w:val="hybridMultilevel"/>
    <w:lvl w:ilvl="0">
      <w:lvlJc w:val="left"/>
      <w:lvlText w:val="%1."/>
      <w:numFmt w:val="decimal"/>
      <w:start w:val="3"/>
    </w:lvl>
  </w:abstractNum>
  <w:abstractNum w:abstractNumId="42">
    <w:nsid w:val="540A471C"/>
    <w:multiLevelType w:val="hybridMultilevel"/>
    <w:lvl w:ilvl="0">
      <w:lvlJc w:val="left"/>
      <w:lvlText w:val="%1"/>
      <w:numFmt w:val="lowerRoman"/>
      <w:start w:val="1"/>
    </w:lvl>
    <w:lvl w:ilvl="1">
      <w:lvlJc w:val="left"/>
      <w:lvlText w:val="(%2)"/>
      <w:numFmt w:val="lowerLetter"/>
      <w:start w:val="1"/>
    </w:lvl>
  </w:abstractNum>
  <w:abstractNum w:abstractNumId="43">
    <w:nsid w:val="7BD3EE7B"/>
    <w:multiLevelType w:val="hybridMultilevel"/>
    <w:lvl w:ilvl="0">
      <w:lvlJc w:val="left"/>
      <w:lvlText w:val="(%1)"/>
      <w:numFmt w:val="lowerRoman"/>
      <w:start w:val="4"/>
    </w:lvl>
    <w:lvl w:ilvl="1">
      <w:lvlJc w:val="left"/>
      <w:lvlText w:val="(%2)"/>
      <w:numFmt w:val="lowerLetter"/>
      <w:start w:val="5"/>
    </w:lvl>
  </w:abstractNum>
  <w:abstractNum w:abstractNumId="44">
    <w:nsid w:val="51D9C564"/>
    <w:multiLevelType w:val="hybridMultilevel"/>
    <w:lvl w:ilvl="0">
      <w:lvlJc w:val="left"/>
      <w:lvlText w:val="(%1)"/>
      <w:numFmt w:val="lowerLetter"/>
      <w:start w:val="10"/>
    </w:lvl>
  </w:abstractNum>
  <w:abstractNum w:abstractNumId="45">
    <w:nsid w:val="613EFDC5"/>
    <w:multiLevelType w:val="hybridMultilevel"/>
    <w:lvl w:ilvl="0">
      <w:lvlJc w:val="left"/>
      <w:lvlText w:val="%1."/>
      <w:numFmt w:val="decimal"/>
      <w:start w:val="4"/>
    </w:lvl>
  </w:abstractNum>
  <w:abstractNum w:abstractNumId="46">
    <w:nsid w:val="BF72B14"/>
    <w:multiLevelType w:val="hybridMultilevel"/>
    <w:lvl w:ilvl="0">
      <w:lvlJc w:val="left"/>
      <w:lvlText w:val="%1."/>
      <w:numFmt w:val="decimal"/>
      <w:start w:val="5"/>
    </w:lvl>
  </w:abstractNum>
  <w:abstractNum w:abstractNumId="47">
    <w:nsid w:val="11447B73"/>
    <w:multiLevelType w:val="hybridMultilevel"/>
    <w:lvl w:ilvl="0">
      <w:lvlJc w:val="left"/>
      <w:lvlText w:val="(%1)"/>
      <w:numFmt w:val="lowerLetter"/>
      <w:start w:val="1"/>
    </w:lvl>
  </w:abstractNum>
  <w:abstractNum w:abstractNumId="48">
    <w:nsid w:val="42963E5A"/>
    <w:multiLevelType w:val="hybridMultilevel"/>
    <w:lvl w:ilvl="0">
      <w:lvlJc w:val="left"/>
      <w:lvlText w:val="%1."/>
      <w:numFmt w:val="decimal"/>
      <w:start w:val="6"/>
    </w:lvl>
  </w:abstractNum>
  <w:abstractNum w:abstractNumId="49">
    <w:nsid w:val="A0382C5"/>
    <w:multiLevelType w:val="hybridMultilevel"/>
    <w:lvl w:ilvl="0">
      <w:lvlJc w:val="left"/>
      <w:lvlText w:val="(%1)"/>
      <w:numFmt w:val="lowerLetter"/>
      <w:start w:val="1"/>
    </w:lvl>
  </w:abstractNum>
  <w:abstractNum w:abstractNumId="50">
    <w:nsid w:val="8F2B15E"/>
    <w:multiLevelType w:val="hybridMultilevel"/>
    <w:lvl w:ilvl="0">
      <w:lvlJc w:val="left"/>
      <w:lvlText w:val="(%1)"/>
      <w:numFmt w:val="lowerLetter"/>
      <w:start w:val="2"/>
    </w:lvl>
    <w:lvl w:ilvl="1">
      <w:lvlJc w:val="left"/>
      <w:lvlText w:val="(%2)"/>
      <w:numFmt w:val="lowerRoman"/>
      <w:start w:val="1"/>
    </w:lvl>
  </w:abstractNum>
  <w:abstractNum w:abstractNumId="51">
    <w:nsid w:val="1A32234B"/>
    <w:multiLevelType w:val="hybridMultilevel"/>
    <w:lvl w:ilvl="0">
      <w:lvlJc w:val="left"/>
      <w:lvlText w:val="(%1)"/>
      <w:numFmt w:val="lowerLetter"/>
      <w:start w:val="1"/>
    </w:lvl>
    <w:lvl w:ilvl="1">
      <w:lvlJc w:val="left"/>
      <w:lvlText w:val="(%2)"/>
      <w:numFmt w:val="lowerRoman"/>
      <w:start w:val="1"/>
    </w:lvl>
  </w:abstractNum>
  <w:abstractNum w:abstractNumId="52">
    <w:nsid w:val="3B0FD379"/>
    <w:multiLevelType w:val="hybridMultilevel"/>
    <w:lvl w:ilvl="0">
      <w:lvlJc w:val="left"/>
      <w:lvlText w:val="%1"/>
      <w:numFmt w:val="lowerLetter"/>
      <w:start w:val="1"/>
    </w:lvl>
    <w:lvl w:ilvl="1">
      <w:lvlJc w:val="left"/>
      <w:lvlText w:val="(%2)"/>
      <w:numFmt w:val="lowerRoman"/>
      <w:start w:val="4"/>
    </w:lvl>
  </w:abstractNum>
  <w:abstractNum w:abstractNumId="53">
    <w:nsid w:val="68EB2F63"/>
    <w:multiLevelType w:val="hybridMultilevel"/>
    <w:lvl w:ilvl="0">
      <w:lvlJc w:val="left"/>
      <w:lvlText w:val="(%1)"/>
      <w:numFmt w:val="lowerLetter"/>
      <w:start w:val="2"/>
    </w:lvl>
    <w:lvl w:ilvl="1">
      <w:lvlJc w:val="left"/>
      <w:lvlText w:val="%2"/>
      <w:numFmt w:val="lowerRoman"/>
      <w:start w:val="1"/>
    </w:lvl>
  </w:abstractNum>
  <w:abstractNum w:abstractNumId="54">
    <w:nsid w:val="4962813B"/>
    <w:multiLevelType w:val="hybridMultilevel"/>
    <w:lvl w:ilvl="0">
      <w:lvlJc w:val="left"/>
      <w:lvlText w:val="%1."/>
      <w:numFmt w:val="decimal"/>
      <w:start w:val="7"/>
    </w:lvl>
  </w:abstractNum>
  <w:abstractNum w:abstractNumId="55">
    <w:nsid w:val="60B6DF70"/>
    <w:multiLevelType w:val="hybridMultilevel"/>
    <w:lvl w:ilvl="0">
      <w:lvlJc w:val="left"/>
      <w:lvlText w:val="(%1)"/>
      <w:numFmt w:val="lowerLetter"/>
      <w:start w:val="1"/>
    </w:lvl>
  </w:abstractNum>
  <w:abstractNum w:abstractNumId="56">
    <w:nsid w:val="6A5EE64"/>
    <w:multiLevelType w:val="hybridMultilevel"/>
    <w:lvl w:ilvl="0">
      <w:lvlJc w:val="left"/>
      <w:lvlText w:val="%1."/>
      <w:numFmt w:val="decimal"/>
      <w:start w:val="8"/>
    </w:lvl>
  </w:abstractNum>
  <w:abstractNum w:abstractNumId="57">
    <w:nsid w:val="14330624"/>
    <w:multiLevelType w:val="hybridMultilevel"/>
    <w:lvl w:ilvl="0">
      <w:lvlJc w:val="left"/>
      <w:lvlText w:val="%1."/>
      <w:numFmt w:val="decimal"/>
      <w:start w:val="9"/>
    </w:lvl>
  </w:abstractNum>
  <w:abstractNum w:abstractNumId="58">
    <w:nsid w:val="7FFFCA11"/>
    <w:multiLevelType w:val="hybridMultilevel"/>
    <w:lvl w:ilvl="0">
      <w:lvlJc w:val="left"/>
      <w:lvlText w:val="%1."/>
      <w:numFmt w:val="decimal"/>
      <w:start w:val="10"/>
    </w:lvl>
  </w:abstractNum>
  <w:abstractNum w:abstractNumId="59">
    <w:nsid w:val="1A27709E"/>
    <w:multiLevelType w:val="hybridMultilevel"/>
    <w:lvl w:ilvl="0">
      <w:lvlJc w:val="left"/>
      <w:lvlText w:val="(%1)"/>
      <w:numFmt w:val="lowerLetter"/>
      <w:start w:val="1"/>
    </w:lvl>
  </w:abstractNum>
  <w:abstractNum w:abstractNumId="60">
    <w:nsid w:val="71EA1109"/>
    <w:multiLevelType w:val="hybridMultilevel"/>
    <w:lvl w:ilvl="0">
      <w:lvlJc w:val="left"/>
      <w:lvlText w:val="(%1)"/>
      <w:numFmt w:val="lowerRoman"/>
      <w:start w:val="1"/>
    </w:lvl>
  </w:abstractNum>
  <w:abstractNum w:abstractNumId="61">
    <w:nsid w:val="100F59DC"/>
    <w:multiLevelType w:val="hybridMultilevel"/>
    <w:lvl w:ilvl="0">
      <w:lvlJc w:val="left"/>
      <w:lvlText w:val="(%1)"/>
      <w:numFmt w:val="lowerRoman"/>
      <w:start w:val="20"/>
    </w:lvl>
  </w:abstractNum>
  <w:abstractNum w:abstractNumId="62">
    <w:nsid w:val="7FB7E0AA"/>
    <w:multiLevelType w:val="hybridMultilevel"/>
    <w:lvl w:ilvl="0">
      <w:lvlJc w:val="left"/>
      <w:lvlText w:val="(%1)"/>
      <w:numFmt w:val="lowerLetter"/>
      <w:start w:val="2"/>
    </w:lvl>
  </w:abstractNum>
  <w:abstractNum w:abstractNumId="63">
    <w:nsid w:val="6EB5BD4"/>
    <w:multiLevelType w:val="hybridMultilevel"/>
    <w:lvl w:ilvl="0">
      <w:lvlJc w:val="left"/>
      <w:lvlText w:val="(%1)"/>
      <w:numFmt w:val="lowerLetter"/>
      <w:start w:val="1"/>
    </w:lvl>
  </w:abstractNum>
  <w:abstractNum w:abstractNumId="64">
    <w:nsid w:val="6F6DD9AC"/>
    <w:multiLevelType w:val="hybridMultilevel"/>
    <w:lvl w:ilvl="0">
      <w:lvlJc w:val="left"/>
      <w:lvlText w:val="(%1)"/>
      <w:numFmt w:val="lowerLetter"/>
      <w:start w:val="3"/>
    </w:lvl>
  </w:abstractNum>
  <w:abstractNum w:abstractNumId="65">
    <w:nsid w:val="94211F2"/>
    <w:multiLevelType w:val="hybridMultilevel"/>
    <w:lvl w:ilvl="0">
      <w:lvlJc w:val="left"/>
      <w:lvlText w:val="(%1)"/>
      <w:numFmt w:val="lowerLetter"/>
      <w:start w:val="1"/>
    </w:lvl>
  </w:abstractNum>
  <w:abstractNum w:abstractNumId="66">
    <w:nsid w:val="885E1B"/>
    <w:multiLevelType w:val="hybridMultilevel"/>
    <w:lvl w:ilvl="0">
      <w:lvlJc w:val="left"/>
      <w:lvlText w:val="%1."/>
      <w:numFmt w:val="decimal"/>
      <w:start w:val="11"/>
    </w:lvl>
  </w:abstractNum>
  <w:abstractNum w:abstractNumId="67">
    <w:nsid w:val="76272110"/>
    <w:multiLevelType w:val="hybridMultilevel"/>
    <w:lvl w:ilvl="0">
      <w:lvlJc w:val="left"/>
      <w:lvlText w:val="%1."/>
      <w:numFmt w:val="decimal"/>
      <w:start w:val="12"/>
    </w:lvl>
  </w:abstractNum>
  <w:abstractNum w:abstractNumId="68">
    <w:nsid w:val="4C04A8AF"/>
    <w:multiLevelType w:val="hybridMultilevel"/>
    <w:lvl w:ilvl="0">
      <w:lvlJc w:val="left"/>
      <w:lvlText w:val="%1"/>
      <w:numFmt w:val="decimal"/>
      <w:start w:val="13"/>
    </w:lvl>
  </w:abstractNum>
  <w:abstractNum w:abstractNumId="69">
    <w:nsid w:val="1716703B"/>
    <w:multiLevelType w:val="hybridMultilevel"/>
    <w:lvl w:ilvl="0">
      <w:lvlJc w:val="left"/>
      <w:lvlText w:val="%1."/>
      <w:numFmt w:val="decimal"/>
      <w:start w:val="14"/>
    </w:lvl>
  </w:abstractNum>
  <w:abstractNum w:abstractNumId="70">
    <w:nsid w:val="14E17E33"/>
    <w:multiLevelType w:val="hybridMultilevel"/>
    <w:lvl w:ilvl="0">
      <w:lvlJc w:val="left"/>
      <w:lvlText w:val="%1."/>
      <w:numFmt w:val="decimal"/>
      <w:start w:val="15"/>
    </w:lvl>
  </w:abstractNum>
  <w:abstractNum w:abstractNumId="71">
    <w:nsid w:val="3222E7CD"/>
    <w:multiLevelType w:val="hybridMultilevel"/>
    <w:lvl w:ilvl="0">
      <w:lvlJc w:val="left"/>
      <w:lvlText w:val="%1."/>
      <w:numFmt w:val="decimal"/>
      <w:start w:val="16"/>
    </w:lvl>
  </w:abstractNum>
  <w:abstractNum w:abstractNumId="72">
    <w:nsid w:val="74DE0EE3"/>
    <w:multiLevelType w:val="hybridMultilevel"/>
    <w:lvl w:ilvl="0">
      <w:lvlJc w:val="left"/>
      <w:lvlText w:val="(%1)"/>
      <w:numFmt w:val="lowerLetter"/>
      <w:start w:val="1"/>
    </w:lvl>
  </w:abstractNum>
  <w:abstractNum w:abstractNumId="73">
    <w:nsid w:val="68EBC550"/>
    <w:multiLevelType w:val="hybridMultilevel"/>
    <w:lvl w:ilvl="0">
      <w:lvlJc w:val="left"/>
      <w:lvlText w:val="(%1)"/>
      <w:numFmt w:val="lowerLetter"/>
      <w:start w:val="1"/>
    </w:lvl>
  </w:abstractNum>
  <w:abstractNum w:abstractNumId="74">
    <w:nsid w:val="2DF6D648"/>
    <w:multiLevelType w:val="hybridMultilevel"/>
    <w:lvl w:ilvl="0">
      <w:lvlJc w:val="left"/>
      <w:lvlText w:val="(%1)"/>
      <w:numFmt w:val="lowerLetter"/>
      <w:start w:val="1"/>
    </w:lvl>
  </w:abstractNum>
  <w:abstractNum w:abstractNumId="75">
    <w:nsid w:val="46B7D447"/>
    <w:multiLevelType w:val="hybridMultilevel"/>
    <w:lvl w:ilvl="0">
      <w:lvlJc w:val="left"/>
      <w:lvlText w:val="(%1)"/>
      <w:numFmt w:val="lowerLetter"/>
      <w:start w:val="3"/>
    </w:lvl>
  </w:abstractNum>
  <w:abstractNum w:abstractNumId="76">
    <w:nsid w:val="4A2AC315"/>
    <w:multiLevelType w:val="hybridMultilevel"/>
    <w:lvl w:ilvl="0">
      <w:lvlJc w:val="left"/>
      <w:lvlText w:val="(%1)"/>
      <w:numFmt w:val="lowerLetter"/>
      <w:start w:val="1"/>
    </w:lvl>
  </w:abstractNum>
  <w:abstractNum w:abstractNumId="77">
    <w:nsid w:val="39EE015C"/>
    <w:multiLevelType w:val="hybridMultilevel"/>
    <w:lvl w:ilvl="0">
      <w:lvlJc w:val="left"/>
      <w:lvlText w:val="(%1)"/>
      <w:numFmt w:val="lowerLetter"/>
      <w:start w:val="1"/>
    </w:lvl>
  </w:abstractNum>
  <w:abstractNum w:abstractNumId="78">
    <w:nsid w:val="57FC4FBB"/>
    <w:multiLevelType w:val="hybridMultilevel"/>
    <w:lvl w:ilvl="0">
      <w:lvlJc w:val="left"/>
      <w:lvlText w:val="%1."/>
      <w:numFmt w:val="decimal"/>
      <w:start w:val="17"/>
    </w:lvl>
  </w:abstractNum>
  <w:abstractNum w:abstractNumId="79">
    <w:nsid w:val="CC1016F"/>
    <w:multiLevelType w:val="hybridMultilevel"/>
    <w:lvl w:ilvl="0">
      <w:lvlJc w:val="left"/>
      <w:lvlText w:val="%1."/>
      <w:numFmt w:val="decimal"/>
      <w:start w:val="1"/>
    </w:lvl>
    <w:lvl w:ilvl="1">
      <w:lvlJc w:val="left"/>
      <w:lvlText w:val="(%2)"/>
      <w:numFmt w:val="lowerLetter"/>
      <w:start w:val="1"/>
    </w:lvl>
  </w:abstractNum>
  <w:abstractNum w:abstractNumId="80">
    <w:nsid w:val="43F18422"/>
    <w:multiLevelType w:val="hybridMultilevel"/>
    <w:lvl w:ilvl="0">
      <w:lvlJc w:val="left"/>
      <w:lvlText w:val="(%1)"/>
      <w:numFmt w:val="lowerLetter"/>
      <w:start w:val="1"/>
    </w:lvl>
  </w:abstractNum>
  <w:abstractNum w:abstractNumId="81">
    <w:nsid w:val="60EF0119"/>
    <w:multiLevelType w:val="hybridMultilevel"/>
    <w:lvl w:ilvl="0">
      <w:lvlJc w:val="left"/>
      <w:lvlText w:val="(%1)"/>
      <w:numFmt w:val="lowerLetter"/>
      <w:start w:val="3"/>
    </w:lvl>
  </w:abstractNum>
  <w:abstractNum w:abstractNumId="82">
    <w:nsid w:val="26F324BA"/>
    <w:multiLevelType w:val="hybridMultilevel"/>
    <w:lvl w:ilvl="0">
      <w:lvlJc w:val="left"/>
      <w:lvlText w:val="(%1)"/>
      <w:numFmt w:val="lowerLetter"/>
      <w:start w:val="13"/>
    </w:lvl>
    <w:lvl w:ilvl="1">
      <w:lvlJc w:val="left"/>
      <w:lvlText w:val="(%2)"/>
      <w:numFmt w:val="lowerRoman"/>
      <w:start w:val="1"/>
    </w:lvl>
  </w:abstractNum>
  <w:abstractNum w:abstractNumId="83">
    <w:nsid w:val="7F01579B"/>
    <w:multiLevelType w:val="hybridMultilevel"/>
    <w:lvl w:ilvl="0">
      <w:lvlJc w:val="left"/>
      <w:lvlText w:val="(%1)"/>
      <w:numFmt w:val="lowerLetter"/>
      <w:start w:val="16"/>
    </w:lvl>
  </w:abstractNum>
  <w:abstractNum w:abstractNumId="84">
    <w:nsid w:val="49DA307D"/>
    <w:multiLevelType w:val="hybridMultilevel"/>
    <w:lvl w:ilvl="0">
      <w:lvlJc w:val="left"/>
      <w:lvlText w:val="%1."/>
      <w:numFmt w:val="decimal"/>
      <w:start w:val="3"/>
    </w:lvl>
  </w:abstractNum>
  <w:abstractNum w:abstractNumId="85">
    <w:nsid w:val="7055A5F5"/>
    <w:multiLevelType w:val="hybridMultilevel"/>
    <w:lvl w:ilvl="0">
      <w:lvlJc w:val="left"/>
      <w:lvlText w:val="(%1)"/>
      <w:numFmt w:val="lowerLetter"/>
      <w:start w:val="1"/>
    </w:lvl>
  </w:abstractNum>
  <w:abstractNum w:abstractNumId="86">
    <w:nsid w:val="5FB8370B"/>
    <w:multiLevelType w:val="hybridMultilevel"/>
    <w:lvl w:ilvl="0">
      <w:lvlJc w:val="left"/>
      <w:lvlText w:val="%1."/>
      <w:numFmt w:val="decimal"/>
      <w:start w:val="4"/>
    </w:lvl>
    <w:lvl w:ilvl="1">
      <w:lvlJc w:val="left"/>
      <w:lvlText w:val="(%2)"/>
      <w:numFmt w:val="lowerLetter"/>
      <w:start w:val="1"/>
    </w:lvl>
  </w:abstractNum>
  <w:abstractNum w:abstractNumId="87">
    <w:nsid w:val="50801EE1"/>
    <w:multiLevelType w:val="hybridMultilevel"/>
    <w:lvl w:ilvl="0">
      <w:lvlJc w:val="left"/>
      <w:lvlText w:val="%1"/>
      <w:numFmt w:val="decimal"/>
      <w:start w:val="1"/>
    </w:lvl>
    <w:lvl w:ilvl="1">
      <w:lvlJc w:val="left"/>
      <w:lvlText w:val="(%2)"/>
      <w:numFmt w:val="lowerLetter"/>
      <w:start w:val="2"/>
    </w:lvl>
  </w:abstractNum>
  <w:abstractNum w:abstractNumId="88">
    <w:nsid w:val="488AC1A"/>
    <w:multiLevelType w:val="hybridMultilevel"/>
    <w:lvl w:ilvl="0">
      <w:lvlJc w:val="left"/>
      <w:lvlText w:val="%1."/>
      <w:numFmt w:val="decimal"/>
      <w:start w:val="5"/>
    </w:lvl>
    <w:lvl w:ilvl="1">
      <w:lvlJc w:val="left"/>
      <w:lvlText w:val="(%2)"/>
      <w:numFmt w:val="lowerLetter"/>
      <w:start w:val="1"/>
    </w:lvl>
  </w:abstractNum>
  <w:abstractNum w:abstractNumId="89">
    <w:nsid w:val="5FB8011C"/>
    <w:multiLevelType w:val="hybridMultilevel"/>
    <w:lvl w:ilvl="0">
      <w:lvlJc w:val="left"/>
      <w:lvlText w:val="(%1)"/>
      <w:numFmt w:val="lowerLetter"/>
      <w:start w:val="1"/>
    </w:lvl>
  </w:abstractNum>
  <w:abstractNum w:abstractNumId="90">
    <w:nsid w:val="6AA78F7F"/>
    <w:multiLevelType w:val="hybridMultilevel"/>
    <w:lvl w:ilvl="0">
      <w:lvlJc w:val="left"/>
      <w:lvlText w:val="%1"/>
      <w:numFmt w:val="decimal"/>
      <w:start w:val="1"/>
    </w:lvl>
    <w:lvl w:ilvl="1">
      <w:lvlJc w:val="left"/>
      <w:lvlText w:val="(%2)"/>
      <w:numFmt w:val="lowerLetter"/>
      <w:start w:val="2"/>
    </w:lvl>
  </w:abstractNum>
  <w:abstractNum w:abstractNumId="91">
    <w:nsid w:val="7672BD23"/>
    <w:multiLevelType w:val="hybridMultilevel"/>
    <w:lvl w:ilvl="0">
      <w:lvlJc w:val="left"/>
      <w:lvlText w:val="%1."/>
      <w:numFmt w:val="decimal"/>
      <w:start w:val="7"/>
    </w:lvl>
    <w:lvl w:ilvl="1">
      <w:lvlJc w:val="left"/>
      <w:lvlText w:val="%2"/>
      <w:numFmt w:val="lowerLetter"/>
      <w:start w:val="1"/>
    </w:lvl>
  </w:abstractNum>
  <w:abstractNum w:abstractNumId="92">
    <w:nsid w:val="6FC75AF8"/>
    <w:multiLevelType w:val="hybridMultilevel"/>
    <w:lvl w:ilvl="0">
      <w:lvlJc w:val="left"/>
      <w:lvlText w:val="%1."/>
      <w:numFmt w:val="decimal"/>
      <w:start w:val="8"/>
    </w:lvl>
  </w:abstractNum>
  <w:abstractNum w:abstractNumId="93">
    <w:nsid w:val="6A5F7029"/>
    <w:multiLevelType w:val="hybridMultilevel"/>
    <w:lvl w:ilvl="0">
      <w:lvlJc w:val="left"/>
      <w:lvlText w:val="%1."/>
      <w:numFmt w:val="decimal"/>
      <w:start w:val="9"/>
    </w:lvl>
    <w:lvl w:ilvl="1">
      <w:lvlJc w:val="left"/>
      <w:lvlText w:val="(%2)"/>
      <w:numFmt w:val="lowerLetter"/>
      <w:start w:val="1"/>
    </w:lvl>
  </w:abstractNum>
  <w:abstractNum w:abstractNumId="94">
    <w:nsid w:val="7D5E18F8"/>
    <w:multiLevelType w:val="hybridMultilevel"/>
    <w:lvl w:ilvl="0">
      <w:lvlJc w:val="left"/>
      <w:lvlText w:val="%1."/>
      <w:numFmt w:val="decimal"/>
      <w:start w:val="10"/>
    </w:lvl>
  </w:abstractNum>
  <w:abstractNum w:abstractNumId="95">
    <w:nsid w:val="5F3534A4"/>
    <w:multiLevelType w:val="hybridMultilevel"/>
    <w:lvl w:ilvl="0">
      <w:lvlJc w:val="left"/>
      <w:lvlText w:val="%1."/>
      <w:numFmt w:val="decimal"/>
      <w:start w:val="11"/>
    </w:lvl>
    <w:lvl w:ilvl="1">
      <w:lvlJc w:val="left"/>
      <w:lvlText w:val="(%2)"/>
      <w:numFmt w:val="lowerLetter"/>
      <w:start w:val="1"/>
    </w:lvl>
  </w:abstractNum>
  <w:abstractNum w:abstractNumId="96">
    <w:nsid w:val="73A1821B"/>
    <w:multiLevelType w:val="hybridMultilevel"/>
    <w:lvl w:ilvl="0">
      <w:lvlJc w:val="left"/>
      <w:lvlText w:val="(%1)"/>
      <w:numFmt w:val="lowerLetter"/>
      <w:start w:val="5"/>
    </w:lvl>
  </w:abstractNum>
  <w:abstractNum w:abstractNumId="97">
    <w:nsid w:val="7DE67713"/>
    <w:multiLevelType w:val="hybridMultilevel"/>
    <w:lvl w:ilvl="0">
      <w:lvlJc w:val="left"/>
      <w:lvlText w:val="%1."/>
      <w:numFmt w:val="decimal"/>
      <w:start w:val="12"/>
    </w:lvl>
  </w:abstractNum>
  <w:abstractNum w:abstractNumId="98">
    <w:nsid w:val="555C55B5"/>
    <w:multiLevelType w:val="hybridMultilevel"/>
    <w:lvl w:ilvl="0">
      <w:lvlJc w:val="left"/>
      <w:lvlText w:val="%1."/>
      <w:numFmt w:val="decimal"/>
      <w:start w:val="13"/>
    </w:lvl>
  </w:abstractNum>
  <w:abstractNum w:abstractNumId="99">
    <w:nsid w:val="3FA62ACA"/>
    <w:multiLevelType w:val="hybridMultilevel"/>
    <w:lvl w:ilvl="0">
      <w:lvlJc w:val="left"/>
      <w:lvlText w:val="%1."/>
      <w:numFmt w:val="decimal"/>
      <w:start w:val="14"/>
    </w:lvl>
  </w:abstractNum>
  <w:abstractNum w:abstractNumId="100">
    <w:nsid w:val="14FCE74E"/>
    <w:multiLevelType w:val="hybridMultilevel"/>
    <w:lvl w:ilvl="0">
      <w:lvlJc w:val="left"/>
      <w:lvlText w:val="%1."/>
      <w:numFmt w:val="decimal"/>
      <w:start w:val="15"/>
    </w:lvl>
    <w:lvl w:ilvl="1">
      <w:lvlJc w:val="left"/>
      <w:lvlText w:val="(%2)"/>
      <w:numFmt w:val="lowerLetter"/>
      <w:start w:val="1"/>
    </w:lvl>
  </w:abstractNum>
  <w:abstractNum w:abstractNumId="101">
    <w:nsid w:val="6A3DD3E8"/>
    <w:multiLevelType w:val="hybridMultilevel"/>
    <w:lvl w:ilvl="0">
      <w:lvlJc w:val="left"/>
      <w:lvlText w:val="%1."/>
      <w:numFmt w:val="decimal"/>
      <w:start w:val="16"/>
    </w:lvl>
    <w:lvl w:ilvl="1">
      <w:lvlJc w:val="left"/>
      <w:lvlText w:val="(%2)"/>
      <w:numFmt w:val="decimal"/>
      <w:start w:val="4"/>
    </w:lvl>
    <w:lvl w:ilvl="2">
      <w:lvlJc w:val="left"/>
      <w:lvlText w:val="(%3)"/>
      <w:numFmt w:val="lowerLetter"/>
      <w:start w:val="1"/>
    </w:lvl>
  </w:abstractNum>
  <w:abstractNum w:abstractNumId="102">
    <w:nsid w:val="71C91298"/>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03">
    <w:nsid w:val="9DAF632"/>
    <w:multiLevelType w:val="hybridMultilevel"/>
    <w:lvl w:ilvl="0">
      <w:lvlJc w:val="left"/>
      <w:lvlText w:val="%1."/>
      <w:numFmt w:val="decimal"/>
      <w:start w:val="17"/>
    </w:lvl>
    <w:lvl w:ilvl="1">
      <w:lvlJc w:val="left"/>
      <w:lvlText w:val="%2"/>
      <w:numFmt w:val="decimal"/>
      <w:start w:val="1"/>
    </w:lvl>
    <w:lvl w:ilvl="2">
      <w:lvlJc w:val="left"/>
      <w:lvlText w:val="(%3)"/>
      <w:numFmt w:val="lowerLetter"/>
      <w:start w:val="1"/>
    </w:lvl>
  </w:abstractNum>
  <w:abstractNum w:abstractNumId="104">
    <w:nsid w:val="53299938"/>
    <w:multiLevelType w:val="hybridMultilevel"/>
    <w:lvl w:ilvl="0">
      <w:lvlJc w:val="left"/>
      <w:lvlText w:val="(%1)"/>
      <w:numFmt w:val="lowerLetter"/>
      <w:start w:val="5"/>
    </w:lvl>
  </w:abstractNum>
  <w:abstractNum w:abstractNumId="105">
    <w:nsid w:val="1FBFE8E0"/>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2019-12-03T09:50:17Z</dcterms:created>
  <dcterms:modified xsi:type="dcterms:W3CDTF">2019-12-03T09:50:17Z</dcterms:modified>
</cp:coreProperties>
</file>