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  LA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81,395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issuer's 2006 Equity Incentive Plan (as amended and restated). 50% of the awarded shares will vest on the first anniversary of the grant date and 50% of the awarded shares will vest on the second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 C. Simoneaux,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L. Barbee Ponder</w:t>
        <w:tab/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6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686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2024-12-31T14:31:01Z</dcterms:created>
  <dcterms:modified xsi:type="dcterms:W3CDTF">2024-12-31T14:31:01Z</dcterms:modified>
</cp:coreProperties>
</file>