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Registration No. 333-______</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FORM S-8</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REGISTRATION STATEMENT UNDER THE SECURITIES ACT OF 1933</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Globalstar, Inc.</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left"/>
        <w:rPr/>
      </w:pPr>
      <w:r>
        <w:rPr/>
      </w:r>
    </w:p>
    <w:tbl>
      <w:tblPr>
        <w:tblW w:w="4586" w:type="dxa"/>
        <w:jc w:val="left"/>
        <w:tblInd w:w="0" w:type="dxa"/>
        <w:tblLayout w:type="fixed"/>
        <w:tblCellMar>
          <w:top w:w="28" w:type="dxa"/>
          <w:left w:w="28" w:type="dxa"/>
          <w:bottom w:w="28" w:type="dxa"/>
          <w:right w:w="28" w:type="dxa"/>
        </w:tblCellMar>
      </w:tblPr>
      <w:tblGrid>
        <w:gridCol w:w="944"/>
        <w:gridCol w:w="830"/>
        <w:gridCol w:w="836"/>
        <w:gridCol w:w="109"/>
        <w:gridCol w:w="109"/>
        <w:gridCol w:w="109"/>
        <w:gridCol w:w="482"/>
        <w:gridCol w:w="482"/>
        <w:gridCol w:w="685"/>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41-2116508</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bidi w:val="0"/>
        <w:spacing w:before="0" w:after="0"/>
        <w:ind w:left="0" w:right="0" w:firstLine="86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1351 Holiday Square Blvd.</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Covington, Louisiana 70433</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Globalstar,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Third Amended and Restated Globalstar, Inc. 2006 Equity Incentive Plan</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(Full title of the plan)</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Rebecca S. Clary</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Globalstar,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1351 Holiday Square Blvd.</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Covington, Louisiana 70433</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(985) 335-1500</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address and telephone number, including area code, of agent for service)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firstLine="450"/>
        <w:jc w:val="left"/>
        <w:rPr/>
      </w:pPr>
      <w:r>
        <w:rPr/>
      </w:r>
    </w:p>
    <w:tbl>
      <w:tblPr>
        <w:tblW w:w="552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859"/>
        <w:gridCol w:w="859"/>
        <w:gridCol w:w="86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center"/>
        <w:rPr/>
      </w:pPr>
      <w:r>
        <w:rPr/>
      </w:r>
    </w:p>
    <w:p>
      <w:pPr>
        <w:pStyle w:val="TextBody"/>
        <w:bidi w:val="0"/>
        <w:spacing w:lineRule="auto" w:line="288"/>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registration statement on Form S-8 registers an additional 37,623,894 shares of the Common Stock of Globalstar, Inc. which may be issued pursuant to the Third Amended and Restated Globalstar, Inc. 2006 Equity Incentive Plan (the “Plan”). Previous registration statements on Form S-8 registered 1,200,000 shares (File No. 333-138590), 600,000 shares (File No. 333-145283), 1,673,858 shares (File No. 333-149747), 3,000,000 shares (File No. 333-150871), 2,732,117 shares (File No. 333-156884), 10,000,000 shares (File No. 333-161510), 5,487,680 shares (File No. 333-165444), 5,813,653 shares (File No. 333-173218), 5,943,516 shares (File No. 333-180178), 7,081,715 shares (File No. 333-188538), 10,717,669 shares (File No. 333-196327), 28,935,673 shares (File No. 333-235505) and 20,000,000 shares (File No. 333-272071) of Common Stock under the Plan. The contents of those registration statements are incorporated herein by reference except to the extent an item is restated below.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bidi w:val="0"/>
        <w:spacing w:before="0" w:after="0"/>
        <w:jc w:val="center"/>
        <w:rPr/>
      </w:pPr>
      <w:r>
        <w:rPr/>
      </w:r>
    </w:p>
    <w:p>
      <w:pPr>
        <w:pStyle w:val="TextBody"/>
        <w:bidi w:val="0"/>
        <w:spacing w:lineRule="auto" w:line="300" w:before="0" w:after="0"/>
        <w:jc w:val="both"/>
        <w:rPr>
          <w:rFonts w:ascii="Times New Roman;sans-serif" w:hAnsi="Times New Roman;sans-serif"/>
          <w:b/>
          <w:color w:val="000000"/>
          <w:sz w:val="20"/>
        </w:rPr>
      </w:pPr>
      <w:r>
        <w:rPr>
          <w:rFonts w:ascii="Times New Roman;sans-serif" w:hAnsi="Times New Roman;sans-serif"/>
          <w:b/>
          <w:color w:val="000000"/>
          <w:sz w:val="20"/>
        </w:rPr>
        <w:t>Item 8. Exhibits.</w:t>
      </w:r>
    </w:p>
    <w:p>
      <w:pPr>
        <w:pStyle w:val="TextBody"/>
        <w:bidi w:val="0"/>
        <w:spacing w:before="0" w:after="0"/>
        <w:jc w:val="both"/>
        <w:rPr/>
      </w:pPr>
      <w:r>
        <w:rPr/>
      </w:r>
    </w:p>
    <w:tbl>
      <w:tblPr>
        <w:tblW w:w="7325" w:type="dxa"/>
        <w:jc w:val="left"/>
        <w:tblInd w:w="0" w:type="dxa"/>
        <w:tblLayout w:type="fixed"/>
        <w:tblCellMar>
          <w:top w:w="28" w:type="dxa"/>
          <w:left w:w="28" w:type="dxa"/>
          <w:bottom w:w="28" w:type="dxa"/>
          <w:right w:w="28" w:type="dxa"/>
        </w:tblCellMar>
      </w:tblPr>
      <w:tblGrid>
        <w:gridCol w:w="173"/>
        <w:gridCol w:w="152"/>
        <w:gridCol w:w="156"/>
        <w:gridCol w:w="1521"/>
        <w:gridCol w:w="1521"/>
        <w:gridCol w:w="3802"/>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ind w:left="0" w:right="0" w:firstLine="140"/>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684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0"/>
              <w:jc w:val="left"/>
              <w:rPr/>
            </w:pPr>
            <w:hyperlink w:anchor="ex51-opinionofcounseleipsx.htm">
              <w:r>
                <w:rPr>
                  <w:rStyle w:val="InternetLink"/>
                  <w:rFonts w:ascii="Times New Roman;sans-serif" w:hAnsi="Times New Roman;sans-serif"/>
                  <w:b w:val="false"/>
                  <w:color w:val="0000FF"/>
                  <w:sz w:val="20"/>
                  <w:u w:val="single"/>
                </w:rPr>
                <w:t>Opinion of Counsel</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684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0"/>
              <w:jc w:val="left"/>
              <w:rPr/>
            </w:pPr>
            <w:hyperlink w:anchor="ex51-opinionofcounseleipsx.htm">
              <w:r>
                <w:rPr>
                  <w:rStyle w:val="InternetLink"/>
                  <w:rFonts w:ascii="Times New Roman;sans-serif" w:hAnsi="Times New Roman;sans-serif"/>
                  <w:b w:val="false"/>
                  <w:color w:val="0000FF"/>
                  <w:sz w:val="20"/>
                  <w:u w:val="single"/>
                </w:rPr>
                <w:t>Consent of Counsel (included in Exhibit 5.1)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684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0"/>
              <w:jc w:val="left"/>
              <w:rPr/>
            </w:pPr>
            <w:hyperlink w:anchor="ex232consentofindependentr.htm">
              <w:r>
                <w:rPr>
                  <w:rStyle w:val="InternetLink"/>
                  <w:rFonts w:ascii="Times New Roman;sans-serif" w:hAnsi="Times New Roman;sans-serif"/>
                  <w:b w:val="false"/>
                  <w:color w:val="0000FF"/>
                  <w:sz w:val="20"/>
                  <w:u w:val="single"/>
                </w:rPr>
                <w:t>Consent of Ernst &amp; Young LLP, Independent Registered Public Accounting Firm</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684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0"/>
              <w:jc w:val="left"/>
              <w:rPr/>
            </w:pPr>
            <w:hyperlink w:anchor="i73f1aeca8ac0432abff5b7c8095121b8_4">
              <w:r>
                <w:rPr>
                  <w:rStyle w:val="InternetLink"/>
                  <w:rFonts w:ascii="Times New Roman;sans-serif" w:hAnsi="Times New Roman;sans-serif"/>
                  <w:b w:val="false"/>
                  <w:color w:val="0000FF"/>
                  <w:sz w:val="20"/>
                  <w:u w:val="single"/>
                </w:rPr>
                <w:t>Powers of Attorney (included on signature page)</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68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filingfeeseipapril2024s.htm">
              <w:r>
                <w:rPr>
                  <w:rStyle w:val="InternetLink"/>
                  <w:rFonts w:ascii="Times New Roman;sans-serif" w:hAnsi="Times New Roman;sans-serif"/>
                  <w:b w:val="false"/>
                  <w:color w:val="0000FF"/>
                  <w:sz w:val="20"/>
                  <w:u w:val="single"/>
                </w:rPr>
                <w:t>Filing Fee Table</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Covington, State of Louisiana, as of April 10,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GLOBALSTAR, INC.</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Rebecca S. Clary</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Rebecca S. Clary</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SIGNATURES AND POWER OF ATTORNEY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officers and directors of Globalstar, Inc. whose signatures appear below, hereby constitute and appoint James Monroe III and Rebecca S. Clary, and each of them, their true and lawful attorneys and agents, with full power of substitution, each with power to act alone, to sign and execute on behalf of the undersigned any amendment or amendments to this registration statement on Form S</w:t>
        <w:noBreakHyphen/>
        <w:t>8, and each of the undersigned does hereby ratify and confirm all that each said attorney and agent, or his substitute, shall do or cause to be done by virtue hereof.</w:t>
      </w:r>
    </w:p>
    <w:p>
      <w:pPr>
        <w:pStyle w:val="TextBody"/>
        <w:bidi w:val="0"/>
        <w:spacing w:before="0" w:after="0"/>
        <w:jc w:val="left"/>
        <w:rPr/>
      </w:pPr>
      <w:r>
        <w:rPr/>
      </w:r>
    </w:p>
    <w:p>
      <w:pPr>
        <w:pStyle w:val="TextBody"/>
        <w:bidi w:val="0"/>
        <w:spacing w:lineRule="auto" w:line="261" w:before="0" w:after="0"/>
        <w:ind w:left="0" w:right="0" w:firstLine="648"/>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this registration statement has been signed by the following persons in the capacities indicated as of April 10, 2024.</w:t>
      </w:r>
    </w:p>
    <w:p>
      <w:pPr>
        <w:pStyle w:val="TextBody"/>
        <w:bidi w:val="0"/>
        <w:spacing w:before="0" w:after="0"/>
        <w:ind w:left="0" w:right="0" w:firstLine="648"/>
        <w:jc w:val="left"/>
        <w:rPr/>
      </w:pPr>
      <w:r>
        <w:rPr/>
      </w:r>
    </w:p>
    <w:tbl>
      <w:tblPr>
        <w:tblW w:w="6307" w:type="dxa"/>
        <w:jc w:val="left"/>
        <w:tblInd w:w="0" w:type="dxa"/>
        <w:tblLayout w:type="fixed"/>
        <w:tblCellMar>
          <w:top w:w="28" w:type="dxa"/>
          <w:left w:w="28" w:type="dxa"/>
          <w:bottom w:w="28" w:type="dxa"/>
          <w:right w:w="28" w:type="dxa"/>
        </w:tblCellMar>
      </w:tblPr>
      <w:tblGrid>
        <w:gridCol w:w="124"/>
        <w:gridCol w:w="109"/>
        <w:gridCol w:w="109"/>
        <w:gridCol w:w="624"/>
        <w:gridCol w:w="624"/>
        <w:gridCol w:w="626"/>
        <w:gridCol w:w="109"/>
        <w:gridCol w:w="109"/>
        <w:gridCol w:w="109"/>
        <w:gridCol w:w="1095"/>
        <w:gridCol w:w="1095"/>
        <w:gridCol w:w="15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Dr. Paul E. Jacobs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 Paul E. Jacobs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Rebecca S. Clary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Rebecca S. Clary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James Monroe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James Monroe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William A. Hasler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William A. Hasler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James F. Lynch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James F. Lynch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Michael J. Lovett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Michael J. Lovett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Keith O. Cowan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Keith O. Cowan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Benjamin G. Wolff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Benjamin G. Wolff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Timothy E. Taylor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Timothy E. Taylor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 </w:t>
            </w:r>
          </w:p>
        </w:tc>
      </w:tr>
    </w:tbl>
    <w:p>
      <w:pPr>
        <w:pStyle w:val="TextBody"/>
        <w:bidi w:val="0"/>
        <w:spacing w:before="0" w:after="0"/>
        <w:ind w:left="0" w:right="0" w:firstLine="648"/>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107</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Calculation of Filing Fee Tables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Form S-8</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Type)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Globalstar,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(Exact Name of Registrant as Specified in its Charter)</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Table 1: Newly Registered Securities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1"/>
        <w:gridCol w:w="255"/>
        <w:gridCol w:w="257"/>
        <w:gridCol w:w="545"/>
        <w:gridCol w:w="484"/>
        <w:gridCol w:w="486"/>
        <w:gridCol w:w="357"/>
        <w:gridCol w:w="357"/>
        <w:gridCol w:w="358"/>
        <w:gridCol w:w="540"/>
        <w:gridCol w:w="541"/>
        <w:gridCol w:w="343"/>
        <w:gridCol w:w="240"/>
        <w:gridCol w:w="581"/>
        <w:gridCol w:w="125"/>
        <w:gridCol w:w="211"/>
        <w:gridCol w:w="1337"/>
        <w:gridCol w:w="109"/>
        <w:gridCol w:w="570"/>
        <w:gridCol w:w="571"/>
        <w:gridCol w:w="182"/>
        <w:gridCol w:w="248"/>
        <w:gridCol w:w="1028"/>
        <w:gridCol w:w="189"/>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Security </w:t>
              <w:br/>
              <w:t>Type</w:t>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Class Title (1)</w:t>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Fee </w:t>
              <w:br/>
              <w:t xml:space="preserve">Calculation </w:t>
              <w:br/>
              <w:t>Rule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br/>
              <w:t>Registered (2)</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Proposed</w:t>
              <w:br/>
              <w:t>Maximum</w:t>
              <w:br/>
              <w:t>Offering</w:t>
              <w:br/>
              <w:t>Price Per</w:t>
              <w:br/>
              <w:t>Unit</w:t>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Maximum</w:t>
              <w:br/>
              <w:t>Aggregate Offering</w:t>
              <w:br/>
              <w:t>Price (3)</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Fee Rate</w:t>
            </w:r>
          </w:p>
        </w:tc>
        <w:tc>
          <w:tcPr>
            <w:tcW w:w="146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 of Registration Fee</w:t>
            </w:r>
          </w:p>
        </w:tc>
      </w:tr>
      <w:tr>
        <w:trPr/>
        <w:tc>
          <w:tcPr>
            <w:tcW w:w="80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Common Stock, $0.0001 par value per share</w:t>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Rule 457(h)</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37,623,894 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50,792,256.90 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0.00014760 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7,496.94 </w:t>
            </w:r>
          </w:p>
        </w:tc>
        <w:tc>
          <w:tcPr>
            <w:tcW w:w="18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Offering Amounts</w:t>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50,792,256.90 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7,496.94 </w:t>
            </w:r>
          </w:p>
        </w:tc>
        <w:tc>
          <w:tcPr>
            <w:tcW w:w="18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 Offsets</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Fee Due</w:t>
            </w:r>
          </w:p>
        </w:tc>
        <w:tc>
          <w:tcPr>
            <w:tcW w:w="10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7,496.94 </w:t>
            </w:r>
          </w:p>
        </w:tc>
        <w:tc>
          <w:tcPr>
            <w:tcW w:w="189"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securities to be registered include options and rights to acquire Common Stock.</w:t>
      </w:r>
    </w:p>
    <w:p>
      <w:pPr>
        <w:pStyle w:val="TextBody"/>
        <w:bidi w:val="0"/>
        <w:spacing w:before="0" w:after="0"/>
        <w:jc w:val="left"/>
        <w:rPr/>
      </w:pPr>
      <w:r>
        <w:rPr/>
      </w:r>
    </w:p>
    <w:p>
      <w:pPr>
        <w:pStyle w:val="TextBody"/>
        <w:bidi w:val="0"/>
        <w:spacing w:lineRule="auto" w:line="21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2.This registration statement also covers such indeterminable number of additional shares of Common Stock of the registrant as may become issuable with respect to any or all of such registered shares pursuant to the antidilution provisions of the plan.</w:t>
      </w:r>
    </w:p>
    <w:p>
      <w:pPr>
        <w:pStyle w:val="TextBody"/>
        <w:bidi w:val="0"/>
        <w:spacing w:before="0" w:after="0"/>
        <w:jc w:val="both"/>
        <w:rPr/>
      </w:pPr>
      <w:r>
        <w:rPr/>
      </w:r>
    </w:p>
    <w:p>
      <w:pPr>
        <w:pStyle w:val="TextBody"/>
        <w:bidi w:val="0"/>
        <w:spacing w:lineRule="auto" w:line="216"/>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proposed maximum offering price per share and the proposed maximum aggregate offering price are estimated solely for purposes of calculating the registration fee and are based, pursuant to Rule 457(h) under the Securities Act of 1933, upon the average of the high and low prices of the Common Stock on April 9, 2024, as reported on NYSE American.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Exhibits 5.1 and 23.1</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Taft Stettinius &amp; Hollister LLP</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425 Walnut Street, Suite 1800</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Cincinnati, Ohio 45202</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April 10, 2024</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Globalstar, Inc.</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1351 Holiday Square Blvd.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Covington, Louisiana 70433</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Re: </w:t>
      </w:r>
      <w:r>
        <w:rPr>
          <w:rFonts w:ascii="Times New Roman;sans-serif" w:hAnsi="Times New Roman;sans-serif"/>
          <w:b w:val="false"/>
          <w:color w:val="000000"/>
          <w:sz w:val="20"/>
          <w:u w:val="single"/>
        </w:rPr>
        <w:t xml:space="preserve">Registration Statement on Form S-8 Filed by Globalstar, Inc.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Ladies and Gentlemen:</w:t>
      </w:r>
    </w:p>
    <w:p>
      <w:pPr>
        <w:pStyle w:val="TextBody"/>
        <w:bidi w:val="0"/>
        <w:spacing w:before="0" w:after="0"/>
        <w:jc w:val="both"/>
        <w:rPr/>
      </w:pPr>
      <w:r>
        <w:rPr/>
      </w:r>
    </w:p>
    <w:p>
      <w:pPr>
        <w:pStyle w:val="TextBody"/>
        <w:bidi w:val="0"/>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acted as counsel to Globalstar, Inc., a Delaware corporation (the “Company”), in connection with a Registration Statement on Form S</w:t>
        <w:noBreakHyphen/>
        <w:t>8 (the “Registration Statement”) under the Securities Act of 1933 for the registration of 37,623,894 shares of the voting common stock, $0.0001 par value, of the Company (the “Shares”) that may be issued pursuant to the Third Amended and Restated Globalstar, Inc. 2006 Equity Incentive Plan (the “Plan”).</w:t>
      </w:r>
    </w:p>
    <w:p>
      <w:pPr>
        <w:pStyle w:val="TextBody"/>
        <w:bidi w:val="0"/>
        <w:spacing w:before="0" w:after="0"/>
        <w:jc w:val="both"/>
        <w:rPr/>
      </w:pPr>
      <w:r>
        <w:rPr/>
      </w:r>
    </w:p>
    <w:p>
      <w:pPr>
        <w:pStyle w:val="TextBody"/>
        <w:bidi w:val="0"/>
        <w:spacing w:lineRule="auto" w:line="261"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opinion, we have examined all documents, records, certificates and matters of law as in our judgment are necessary or appropriate to enable us to render the opinion expressed below.</w:t>
      </w:r>
    </w:p>
    <w:p>
      <w:pPr>
        <w:pStyle w:val="TextBody"/>
        <w:bidi w:val="0"/>
        <w:spacing w:before="0" w:after="0"/>
        <w:jc w:val="both"/>
        <w:rPr/>
      </w:pPr>
      <w:r>
        <w:rPr/>
      </w:r>
    </w:p>
    <w:p>
      <w:pPr>
        <w:pStyle w:val="TextBody"/>
        <w:bidi w:val="0"/>
        <w:spacing w:lineRule="auto" w:line="25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such examination, we are of the opinion that the Shares covered by the Registration Statement, when issued against receipt of the consideration therefor in accordance with the provisions of the Plan, will be legally issued, fully paid and nonassessable.</w:t>
      </w:r>
    </w:p>
    <w:p>
      <w:pPr>
        <w:pStyle w:val="TextBody"/>
        <w:bidi w:val="0"/>
        <w:spacing w:before="0" w:after="0"/>
        <w:jc w:val="both"/>
        <w:rPr/>
      </w:pPr>
      <w:r>
        <w:rPr/>
      </w:r>
    </w:p>
    <w:p>
      <w:pPr>
        <w:pStyle w:val="TextBody"/>
        <w:bidi w:val="0"/>
        <w:spacing w:lineRule="auto" w:line="261"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filing of this opinion as an exhibit to the Registration Statement and the use of our name wherever it appears in said Registration Statement.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Very truly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Taft Stettinius &amp; Hollister LLP</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 (Form S-8) pertaining to the Third Amended and Restated Globalstar, Inc. 2006 Equity Incentive Plan of our reports dated February 29, 2024, with respect to the consolidated financial statements of Globalstar, Inc. and the effectiveness of internal control over financial reporting of Globalstar, Inc. included in its Annual Report (Form 10-K) for the year ended December 31, 2023, filed with the Securities and Exchange Commission.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Orleans, Louisiana</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10, 2024</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1219</Words>
  <Characters>6839</Characters>
  <CharactersWithSpaces>7980</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