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-235585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20955</wp:posOffset>
            </wp:positionV>
            <wp:extent cx="699643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5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Lynch James F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1351 HOLIDAY SQUARE BLVD.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COVINGTON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70433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GSAT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20" w:right="42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26,738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1.87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833,668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Voting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9,040,720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560" w:type="dxa"/>
            <w:vAlign w:val="bottom"/>
          </w:tcPr>
          <w:p>
            <w:pPr>
              <w:ind w:left="4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-1819275</wp:posOffset>
            </wp:positionV>
            <wp:extent cx="28575" cy="1824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2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under the Issuer's Equity Incentive Plan. The awarded shares vest on January 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under the Issuer's Equity Incentive Plan. The awarded options vest and become exercisable as to one third on each of January 2, 2025, 2026, and 2027.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-3810</wp:posOffset>
            </wp:positionV>
            <wp:extent cx="1046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 in fact for James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873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Lynch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260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816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2024-01-04T15:39:18Z</dcterms:created>
  <dcterms:modified xsi:type="dcterms:W3CDTF">2024-01-04T15:39:18Z</dcterms:modified>
</cp:coreProperties>
</file>