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___________</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9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Pursuant to Section 13 or 15(d) of the</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Securities Exchange Act of 1934</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Report (Date of earliest event reported): June 16, 2020</w:t>
      </w: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GLOBALSTAR, INC.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111" w:lineRule="exact"/>
        <w:rPr>
          <w:sz w:val="24"/>
          <w:szCs w:val="24"/>
          <w:color w:val="auto"/>
        </w:rPr>
      </w:pPr>
    </w:p>
    <w:tbl>
      <w:tblPr>
        <w:tblLayout w:type="fixed"/>
        <w:tblInd w:w="100" w:type="dxa"/>
        <w:tblCellMar>
          <w:top w:w="0" w:type="dxa"/>
          <w:left w:w="0" w:type="dxa"/>
          <w:bottom w:w="0" w:type="dxa"/>
          <w:right w:w="0" w:type="dxa"/>
        </w:tblCellMar>
      </w:tblPr>
      <w:tr>
        <w:trPr>
          <w:trHeight w:val="253"/>
        </w:trPr>
        <w:tc>
          <w:tcPr>
            <w:tcW w:w="4720" w:type="dxa"/>
            <w:vAlign w:val="bottom"/>
          </w:tcPr>
          <w:p>
            <w:pPr>
              <w:jc w:val="center"/>
              <w:ind w:right="1032"/>
              <w:spacing w:after="0"/>
              <w:rPr>
                <w:sz w:val="20"/>
                <w:szCs w:val="20"/>
                <w:color w:val="auto"/>
              </w:rPr>
            </w:pPr>
            <w:r>
              <w:rPr>
                <w:rFonts w:ascii="Arial" w:cs="Arial" w:eastAsia="Arial" w:hAnsi="Arial"/>
                <w:sz w:val="22"/>
                <w:szCs w:val="22"/>
                <w:color w:val="auto"/>
                <w:w w:val="88"/>
              </w:rPr>
              <w:t>Delaware</w:t>
            </w:r>
          </w:p>
        </w:tc>
        <w:tc>
          <w:tcPr>
            <w:tcW w:w="2200" w:type="dxa"/>
            <w:vAlign w:val="bottom"/>
          </w:tcPr>
          <w:p>
            <w:pPr>
              <w:jc w:val="center"/>
              <w:ind w:right="452"/>
              <w:spacing w:after="0"/>
              <w:rPr>
                <w:sz w:val="20"/>
                <w:szCs w:val="20"/>
                <w:color w:val="auto"/>
              </w:rPr>
            </w:pPr>
            <w:r>
              <w:rPr>
                <w:rFonts w:ascii="Arial" w:cs="Arial" w:eastAsia="Arial" w:hAnsi="Arial"/>
                <w:sz w:val="22"/>
                <w:szCs w:val="22"/>
                <w:color w:val="auto"/>
                <w:w w:val="87"/>
              </w:rPr>
              <w:t>001-33117</w:t>
            </w:r>
          </w:p>
        </w:tc>
        <w:tc>
          <w:tcPr>
            <w:tcW w:w="4060" w:type="dxa"/>
            <w:vAlign w:val="bottom"/>
          </w:tcPr>
          <w:p>
            <w:pPr>
              <w:jc w:val="center"/>
              <w:ind w:left="552"/>
              <w:spacing w:after="0"/>
              <w:rPr>
                <w:sz w:val="20"/>
                <w:szCs w:val="20"/>
                <w:color w:val="auto"/>
              </w:rPr>
            </w:pPr>
            <w:r>
              <w:rPr>
                <w:rFonts w:ascii="Arial" w:cs="Arial" w:eastAsia="Arial" w:hAnsi="Arial"/>
                <w:sz w:val="22"/>
                <w:szCs w:val="22"/>
                <w:color w:val="auto"/>
                <w:w w:val="88"/>
              </w:rPr>
              <w:t>41-2116508</w:t>
            </w:r>
          </w:p>
        </w:tc>
      </w:tr>
      <w:tr>
        <w:trPr>
          <w:trHeight w:val="243"/>
        </w:trPr>
        <w:tc>
          <w:tcPr>
            <w:tcW w:w="4720" w:type="dxa"/>
            <w:vAlign w:val="bottom"/>
          </w:tcPr>
          <w:p>
            <w:pPr>
              <w:jc w:val="center"/>
              <w:ind w:right="1032"/>
              <w:spacing w:after="0" w:line="243" w:lineRule="exact"/>
              <w:rPr>
                <w:sz w:val="20"/>
                <w:szCs w:val="20"/>
                <w:color w:val="auto"/>
              </w:rPr>
            </w:pPr>
            <w:r>
              <w:rPr>
                <w:rFonts w:ascii="Arial" w:cs="Arial" w:eastAsia="Arial" w:hAnsi="Arial"/>
                <w:sz w:val="22"/>
                <w:szCs w:val="22"/>
                <w:color w:val="auto"/>
                <w:w w:val="90"/>
              </w:rPr>
              <w:t>(State or Other Jurisdiction of</w:t>
            </w:r>
          </w:p>
        </w:tc>
        <w:tc>
          <w:tcPr>
            <w:tcW w:w="2200" w:type="dxa"/>
            <w:vAlign w:val="bottom"/>
          </w:tcPr>
          <w:p>
            <w:pPr>
              <w:jc w:val="center"/>
              <w:ind w:right="452"/>
              <w:spacing w:after="0" w:line="243" w:lineRule="exact"/>
              <w:rPr>
                <w:sz w:val="20"/>
                <w:szCs w:val="20"/>
                <w:color w:val="auto"/>
              </w:rPr>
            </w:pPr>
            <w:r>
              <w:rPr>
                <w:rFonts w:ascii="Arial" w:cs="Arial" w:eastAsia="Arial" w:hAnsi="Arial"/>
                <w:sz w:val="22"/>
                <w:szCs w:val="22"/>
                <w:color w:val="auto"/>
                <w:w w:val="90"/>
              </w:rPr>
              <w:t>(Commission</w:t>
            </w:r>
          </w:p>
        </w:tc>
        <w:tc>
          <w:tcPr>
            <w:tcW w:w="4060" w:type="dxa"/>
            <w:vAlign w:val="bottom"/>
          </w:tcPr>
          <w:p>
            <w:pPr>
              <w:jc w:val="center"/>
              <w:ind w:left="552"/>
              <w:spacing w:after="0" w:line="243" w:lineRule="exact"/>
              <w:rPr>
                <w:sz w:val="20"/>
                <w:szCs w:val="20"/>
                <w:color w:val="auto"/>
              </w:rPr>
            </w:pPr>
            <w:r>
              <w:rPr>
                <w:rFonts w:ascii="Arial" w:cs="Arial" w:eastAsia="Arial" w:hAnsi="Arial"/>
                <w:sz w:val="22"/>
                <w:szCs w:val="22"/>
                <w:color w:val="auto"/>
                <w:w w:val="92"/>
              </w:rPr>
              <w:t>(IRS Employer</w:t>
            </w:r>
          </w:p>
        </w:tc>
      </w:tr>
      <w:tr>
        <w:trPr>
          <w:trHeight w:val="274"/>
        </w:trPr>
        <w:tc>
          <w:tcPr>
            <w:tcW w:w="4720" w:type="dxa"/>
            <w:vAlign w:val="bottom"/>
          </w:tcPr>
          <w:p>
            <w:pPr>
              <w:jc w:val="center"/>
              <w:ind w:right="1032"/>
              <w:spacing w:after="0"/>
              <w:rPr>
                <w:sz w:val="20"/>
                <w:szCs w:val="20"/>
                <w:color w:val="auto"/>
              </w:rPr>
            </w:pPr>
            <w:r>
              <w:rPr>
                <w:rFonts w:ascii="Arial" w:cs="Arial" w:eastAsia="Arial" w:hAnsi="Arial"/>
                <w:sz w:val="22"/>
                <w:szCs w:val="22"/>
                <w:color w:val="auto"/>
                <w:w w:val="92"/>
              </w:rPr>
              <w:t>Incorporation)</w:t>
            </w:r>
          </w:p>
        </w:tc>
        <w:tc>
          <w:tcPr>
            <w:tcW w:w="2200" w:type="dxa"/>
            <w:vAlign w:val="bottom"/>
          </w:tcPr>
          <w:p>
            <w:pPr>
              <w:jc w:val="center"/>
              <w:ind w:right="452"/>
              <w:spacing w:after="0"/>
              <w:rPr>
                <w:sz w:val="20"/>
                <w:szCs w:val="20"/>
                <w:color w:val="auto"/>
              </w:rPr>
            </w:pPr>
            <w:r>
              <w:rPr>
                <w:rFonts w:ascii="Arial" w:cs="Arial" w:eastAsia="Arial" w:hAnsi="Arial"/>
                <w:sz w:val="22"/>
                <w:szCs w:val="22"/>
                <w:color w:val="auto"/>
                <w:w w:val="91"/>
              </w:rPr>
              <w:t>File Number)</w:t>
            </w:r>
          </w:p>
        </w:tc>
        <w:tc>
          <w:tcPr>
            <w:tcW w:w="4060" w:type="dxa"/>
            <w:vAlign w:val="bottom"/>
          </w:tcPr>
          <w:p>
            <w:pPr>
              <w:jc w:val="center"/>
              <w:ind w:left="552"/>
              <w:spacing w:after="0"/>
              <w:rPr>
                <w:sz w:val="20"/>
                <w:szCs w:val="20"/>
                <w:color w:val="auto"/>
              </w:rPr>
            </w:pPr>
            <w:r>
              <w:rPr>
                <w:rFonts w:ascii="Arial" w:cs="Arial" w:eastAsia="Arial" w:hAnsi="Arial"/>
                <w:sz w:val="22"/>
                <w:szCs w:val="22"/>
                <w:color w:val="auto"/>
                <w:w w:val="93"/>
              </w:rPr>
              <w:t>Identification No.)</w:t>
            </w:r>
          </w:p>
        </w:tc>
      </w:tr>
      <w:tr>
        <w:trPr>
          <w:trHeight w:val="405"/>
        </w:trPr>
        <w:tc>
          <w:tcPr>
            <w:tcW w:w="4720" w:type="dxa"/>
            <w:vAlign w:val="bottom"/>
          </w:tcPr>
          <w:p>
            <w:pPr>
              <w:jc w:val="center"/>
              <w:ind w:left="652"/>
              <w:spacing w:after="0"/>
              <w:rPr>
                <w:sz w:val="20"/>
                <w:szCs w:val="20"/>
                <w:color w:val="auto"/>
              </w:rPr>
            </w:pPr>
            <w:r>
              <w:rPr>
                <w:rFonts w:ascii="Arial" w:cs="Arial" w:eastAsia="Arial" w:hAnsi="Arial"/>
                <w:sz w:val="22"/>
                <w:szCs w:val="22"/>
                <w:color w:val="auto"/>
                <w:w w:val="91"/>
              </w:rPr>
              <w:t>1351 Holiday Square Blvd. Covington, LA</w:t>
            </w:r>
          </w:p>
        </w:tc>
        <w:tc>
          <w:tcPr>
            <w:tcW w:w="2200" w:type="dxa"/>
            <w:vAlign w:val="bottom"/>
          </w:tcPr>
          <w:p>
            <w:pPr>
              <w:spacing w:after="0"/>
              <w:rPr>
                <w:sz w:val="24"/>
                <w:szCs w:val="24"/>
                <w:color w:val="auto"/>
              </w:rPr>
            </w:pPr>
          </w:p>
        </w:tc>
        <w:tc>
          <w:tcPr>
            <w:tcW w:w="4060" w:type="dxa"/>
            <w:vAlign w:val="bottom"/>
          </w:tcPr>
          <w:p>
            <w:pPr>
              <w:jc w:val="right"/>
              <w:ind w:right="2272"/>
              <w:spacing w:after="0"/>
              <w:rPr>
                <w:sz w:val="20"/>
                <w:szCs w:val="20"/>
                <w:color w:val="auto"/>
              </w:rPr>
            </w:pPr>
            <w:r>
              <w:rPr>
                <w:rFonts w:ascii="Arial" w:cs="Arial" w:eastAsia="Arial" w:hAnsi="Arial"/>
                <w:sz w:val="22"/>
                <w:szCs w:val="22"/>
                <w:color w:val="auto"/>
              </w:rPr>
              <w:t>70433</w:t>
            </w:r>
          </w:p>
        </w:tc>
      </w:tr>
      <w:tr>
        <w:trPr>
          <w:trHeight w:val="297"/>
        </w:trPr>
        <w:tc>
          <w:tcPr>
            <w:tcW w:w="4720" w:type="dxa"/>
            <w:vAlign w:val="bottom"/>
          </w:tcPr>
          <w:p>
            <w:pPr>
              <w:jc w:val="center"/>
              <w:ind w:left="652"/>
              <w:spacing w:after="0"/>
              <w:rPr>
                <w:sz w:val="20"/>
                <w:szCs w:val="20"/>
                <w:color w:val="auto"/>
              </w:rPr>
            </w:pPr>
            <w:r>
              <w:rPr>
                <w:rFonts w:ascii="Arial" w:cs="Arial" w:eastAsia="Arial" w:hAnsi="Arial"/>
                <w:sz w:val="22"/>
                <w:szCs w:val="22"/>
                <w:color w:val="auto"/>
                <w:w w:val="91"/>
              </w:rPr>
              <w:t>(Address of Principal Executive Offices)</w:t>
            </w:r>
          </w:p>
        </w:tc>
        <w:tc>
          <w:tcPr>
            <w:tcW w:w="2200" w:type="dxa"/>
            <w:vAlign w:val="bottom"/>
          </w:tcPr>
          <w:p>
            <w:pPr>
              <w:spacing w:after="0"/>
              <w:rPr>
                <w:sz w:val="24"/>
                <w:szCs w:val="24"/>
                <w:color w:val="auto"/>
              </w:rPr>
            </w:pPr>
          </w:p>
        </w:tc>
        <w:tc>
          <w:tcPr>
            <w:tcW w:w="4060" w:type="dxa"/>
            <w:vAlign w:val="bottom"/>
          </w:tcPr>
          <w:p>
            <w:pPr>
              <w:jc w:val="center"/>
              <w:ind w:right="1132"/>
              <w:spacing w:after="0"/>
              <w:rPr>
                <w:sz w:val="20"/>
                <w:szCs w:val="20"/>
                <w:color w:val="auto"/>
              </w:rPr>
            </w:pPr>
            <w:r>
              <w:rPr>
                <w:rFonts w:ascii="Arial" w:cs="Arial" w:eastAsia="Arial" w:hAnsi="Arial"/>
                <w:sz w:val="22"/>
                <w:szCs w:val="22"/>
                <w:color w:val="auto"/>
                <w:w w:val="90"/>
              </w:rPr>
              <w:t>(Zip Code)</w:t>
            </w:r>
          </w:p>
        </w:tc>
      </w:tr>
      <w:tr>
        <w:trPr>
          <w:trHeight w:val="634"/>
        </w:trPr>
        <w:tc>
          <w:tcPr>
            <w:tcW w:w="10980" w:type="dxa"/>
            <w:vAlign w:val="bottom"/>
            <w:gridSpan w:val="3"/>
          </w:tcPr>
          <w:p>
            <w:pPr>
              <w:jc w:val="center"/>
              <w:spacing w:after="0"/>
              <w:rPr>
                <w:sz w:val="20"/>
                <w:szCs w:val="20"/>
                <w:color w:val="auto"/>
              </w:rPr>
            </w:pPr>
            <w:r>
              <w:rPr>
                <w:rFonts w:ascii="Arial" w:cs="Arial" w:eastAsia="Arial" w:hAnsi="Arial"/>
                <w:sz w:val="22"/>
                <w:szCs w:val="22"/>
                <w:color w:val="auto"/>
                <w:w w:val="88"/>
              </w:rPr>
              <w:t>Registrant’s telephone number, including area code: (985) 335-1500</w:t>
            </w:r>
          </w:p>
        </w:tc>
      </w:tr>
      <w:tr>
        <w:trPr>
          <w:trHeight w:val="482"/>
        </w:trPr>
        <w:tc>
          <w:tcPr>
            <w:tcW w:w="47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color w:val="auto"/>
              </w:rPr>
              <w:t>N/A</w:t>
            </w:r>
          </w:p>
        </w:tc>
        <w:tc>
          <w:tcPr>
            <w:tcW w:w="4060" w:type="dxa"/>
            <w:vAlign w:val="bottom"/>
          </w:tcPr>
          <w:p>
            <w:pPr>
              <w:spacing w:after="0"/>
              <w:rPr>
                <w:sz w:val="24"/>
                <w:szCs w:val="24"/>
                <w:color w:val="auto"/>
              </w:rPr>
            </w:pPr>
          </w:p>
        </w:tc>
      </w:tr>
      <w:tr>
        <w:trPr>
          <w:trHeight w:val="274"/>
        </w:trPr>
        <w:tc>
          <w:tcPr>
            <w:tcW w:w="10980" w:type="dxa"/>
            <w:vAlign w:val="bottom"/>
            <w:gridSpan w:val="3"/>
          </w:tcPr>
          <w:p>
            <w:pPr>
              <w:jc w:val="center"/>
              <w:spacing w:after="0"/>
              <w:rPr>
                <w:sz w:val="20"/>
                <w:szCs w:val="20"/>
                <w:color w:val="auto"/>
              </w:rPr>
            </w:pPr>
            <w:r>
              <w:rPr>
                <w:rFonts w:ascii="Arial" w:cs="Arial" w:eastAsia="Arial" w:hAnsi="Arial"/>
                <w:sz w:val="22"/>
                <w:szCs w:val="22"/>
                <w:color w:val="auto"/>
                <w:w w:val="89"/>
              </w:rPr>
              <w:t>(Former Name or Former Address, if Changed Since Last Report)</w:t>
            </w:r>
          </w:p>
        </w:tc>
      </w:tr>
      <w:tr>
        <w:trPr>
          <w:trHeight w:val="360"/>
        </w:trPr>
        <w:tc>
          <w:tcPr>
            <w:tcW w:w="4720" w:type="dxa"/>
            <w:vAlign w:val="bottom"/>
          </w:tcPr>
          <w:p>
            <w:pPr>
              <w:jc w:val="center"/>
              <w:ind w:right="1092"/>
              <w:spacing w:after="0"/>
              <w:rPr>
                <w:sz w:val="20"/>
                <w:szCs w:val="20"/>
                <w:color w:val="auto"/>
              </w:rPr>
            </w:pPr>
            <w:r>
              <w:rPr>
                <w:rFonts w:ascii="Arial" w:cs="Arial" w:eastAsia="Arial" w:hAnsi="Arial"/>
                <w:sz w:val="22"/>
                <w:szCs w:val="22"/>
                <w:color w:val="auto"/>
                <w:w w:val="87"/>
              </w:rPr>
              <w:t>Securities registered pursuant to section</w:t>
            </w:r>
          </w:p>
        </w:tc>
        <w:tc>
          <w:tcPr>
            <w:tcW w:w="22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74"/>
        </w:trPr>
        <w:tc>
          <w:tcPr>
            <w:tcW w:w="4720" w:type="dxa"/>
            <w:vAlign w:val="bottom"/>
          </w:tcPr>
          <w:p>
            <w:pPr>
              <w:jc w:val="center"/>
              <w:ind w:right="1092"/>
              <w:spacing w:after="0"/>
              <w:rPr>
                <w:sz w:val="20"/>
                <w:szCs w:val="20"/>
                <w:color w:val="auto"/>
              </w:rPr>
            </w:pPr>
            <w:r>
              <w:rPr>
                <w:rFonts w:ascii="Arial" w:cs="Arial" w:eastAsia="Arial" w:hAnsi="Arial"/>
                <w:sz w:val="22"/>
                <w:szCs w:val="22"/>
                <w:color w:val="auto"/>
                <w:w w:val="91"/>
              </w:rPr>
              <w:t>12(b) of the Act:</w:t>
            </w:r>
          </w:p>
        </w:tc>
        <w:tc>
          <w:tcPr>
            <w:tcW w:w="2200" w:type="dxa"/>
            <w:vAlign w:val="bottom"/>
          </w:tcPr>
          <w:p>
            <w:pPr>
              <w:spacing w:after="0"/>
              <w:rPr>
                <w:sz w:val="23"/>
                <w:szCs w:val="23"/>
                <w:color w:val="auto"/>
              </w:rPr>
            </w:pPr>
          </w:p>
        </w:tc>
        <w:tc>
          <w:tcPr>
            <w:tcW w:w="4060" w:type="dxa"/>
            <w:vAlign w:val="bottom"/>
          </w:tcPr>
          <w:p>
            <w:pPr>
              <w:spacing w:after="0"/>
              <w:rPr>
                <w:sz w:val="23"/>
                <w:szCs w:val="23"/>
                <w:color w:val="auto"/>
              </w:rPr>
            </w:pPr>
          </w:p>
        </w:tc>
      </w:tr>
      <w:tr>
        <w:trPr>
          <w:trHeight w:val="297"/>
        </w:trPr>
        <w:tc>
          <w:tcPr>
            <w:tcW w:w="4720" w:type="dxa"/>
            <w:vAlign w:val="bottom"/>
          </w:tcPr>
          <w:p>
            <w:pPr>
              <w:jc w:val="center"/>
              <w:ind w:right="1092"/>
              <w:spacing w:after="0"/>
              <w:rPr>
                <w:sz w:val="20"/>
                <w:szCs w:val="20"/>
                <w:color w:val="auto"/>
              </w:rPr>
            </w:pPr>
            <w:r>
              <w:rPr>
                <w:rFonts w:ascii="Arial" w:cs="Arial" w:eastAsia="Arial" w:hAnsi="Arial"/>
                <w:sz w:val="22"/>
                <w:szCs w:val="22"/>
                <w:color w:val="auto"/>
                <w:w w:val="88"/>
              </w:rPr>
              <w:t>Title of each class</w:t>
            </w:r>
          </w:p>
        </w:tc>
        <w:tc>
          <w:tcPr>
            <w:tcW w:w="2200" w:type="dxa"/>
            <w:vAlign w:val="bottom"/>
          </w:tcPr>
          <w:p>
            <w:pPr>
              <w:jc w:val="center"/>
              <w:ind w:right="492"/>
              <w:spacing w:after="0"/>
              <w:rPr>
                <w:sz w:val="20"/>
                <w:szCs w:val="20"/>
                <w:color w:val="auto"/>
              </w:rPr>
            </w:pPr>
            <w:r>
              <w:rPr>
                <w:rFonts w:ascii="Arial" w:cs="Arial" w:eastAsia="Arial" w:hAnsi="Arial"/>
                <w:sz w:val="22"/>
                <w:szCs w:val="22"/>
                <w:color w:val="auto"/>
                <w:w w:val="90"/>
              </w:rPr>
              <w:t>Trading Symbol</w:t>
            </w:r>
          </w:p>
        </w:tc>
        <w:tc>
          <w:tcPr>
            <w:tcW w:w="4060" w:type="dxa"/>
            <w:vAlign w:val="bottom"/>
          </w:tcPr>
          <w:p>
            <w:pPr>
              <w:jc w:val="center"/>
              <w:ind w:left="572"/>
              <w:spacing w:after="0"/>
              <w:rPr>
                <w:sz w:val="20"/>
                <w:szCs w:val="20"/>
                <w:color w:val="auto"/>
              </w:rPr>
            </w:pPr>
            <w:r>
              <w:rPr>
                <w:rFonts w:ascii="Arial" w:cs="Arial" w:eastAsia="Arial" w:hAnsi="Arial"/>
                <w:sz w:val="22"/>
                <w:szCs w:val="22"/>
                <w:color w:val="auto"/>
                <w:w w:val="88"/>
              </w:rPr>
              <w:t>Name of exchange on which registered</w:t>
            </w:r>
          </w:p>
        </w:tc>
      </w:tr>
      <w:tr>
        <w:trPr>
          <w:trHeight w:val="260"/>
        </w:trPr>
        <w:tc>
          <w:tcPr>
            <w:tcW w:w="4720" w:type="dxa"/>
            <w:vAlign w:val="bottom"/>
          </w:tcPr>
          <w:p>
            <w:pPr>
              <w:jc w:val="center"/>
              <w:ind w:right="1092"/>
              <w:spacing w:after="0"/>
              <w:rPr>
                <w:sz w:val="20"/>
                <w:szCs w:val="20"/>
                <w:color w:val="auto"/>
              </w:rPr>
            </w:pPr>
            <w:r>
              <w:rPr>
                <w:rFonts w:ascii="Arial" w:cs="Arial" w:eastAsia="Arial" w:hAnsi="Arial"/>
                <w:sz w:val="22"/>
                <w:szCs w:val="22"/>
                <w:b w:val="1"/>
                <w:bCs w:val="1"/>
                <w:color w:val="auto"/>
                <w:w w:val="88"/>
              </w:rPr>
              <w:t>Common Stock, par value $0.0001 per</w:t>
            </w:r>
          </w:p>
        </w:tc>
        <w:tc>
          <w:tcPr>
            <w:tcW w:w="2200" w:type="dxa"/>
            <w:vAlign w:val="bottom"/>
          </w:tcPr>
          <w:p>
            <w:pPr>
              <w:spacing w:after="0"/>
              <w:rPr>
                <w:sz w:val="22"/>
                <w:szCs w:val="22"/>
                <w:color w:val="auto"/>
              </w:rPr>
            </w:pPr>
          </w:p>
        </w:tc>
        <w:tc>
          <w:tcPr>
            <w:tcW w:w="4060" w:type="dxa"/>
            <w:vAlign w:val="bottom"/>
          </w:tcPr>
          <w:p>
            <w:pPr>
              <w:spacing w:after="0"/>
              <w:rPr>
                <w:sz w:val="22"/>
                <w:szCs w:val="22"/>
                <w:color w:val="auto"/>
              </w:rPr>
            </w:pPr>
          </w:p>
        </w:tc>
      </w:tr>
      <w:tr>
        <w:trPr>
          <w:trHeight w:val="280"/>
        </w:trPr>
        <w:tc>
          <w:tcPr>
            <w:tcW w:w="4720" w:type="dxa"/>
            <w:vAlign w:val="bottom"/>
          </w:tcPr>
          <w:p>
            <w:pPr>
              <w:jc w:val="center"/>
              <w:ind w:right="1112"/>
              <w:spacing w:after="0"/>
              <w:rPr>
                <w:sz w:val="20"/>
                <w:szCs w:val="20"/>
                <w:color w:val="auto"/>
              </w:rPr>
            </w:pPr>
            <w:r>
              <w:rPr>
                <w:rFonts w:ascii="Arial" w:cs="Arial" w:eastAsia="Arial" w:hAnsi="Arial"/>
                <w:sz w:val="22"/>
                <w:szCs w:val="22"/>
                <w:b w:val="1"/>
                <w:bCs w:val="1"/>
                <w:color w:val="auto"/>
                <w:w w:val="85"/>
              </w:rPr>
              <w:t>share</w:t>
            </w: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94"/>
              </w:rPr>
              <w:t>GSAT</w:t>
            </w:r>
          </w:p>
        </w:tc>
        <w:tc>
          <w:tcPr>
            <w:tcW w:w="4060" w:type="dxa"/>
            <w:vAlign w:val="bottom"/>
          </w:tcPr>
          <w:p>
            <w:pPr>
              <w:jc w:val="center"/>
              <w:ind w:left="572"/>
              <w:spacing w:after="0"/>
              <w:rPr>
                <w:sz w:val="20"/>
                <w:szCs w:val="20"/>
                <w:color w:val="auto"/>
              </w:rPr>
            </w:pPr>
            <w:r>
              <w:rPr>
                <w:rFonts w:ascii="Arial" w:cs="Arial" w:eastAsia="Arial" w:hAnsi="Arial"/>
                <w:sz w:val="22"/>
                <w:szCs w:val="22"/>
                <w:b w:val="1"/>
                <w:bCs w:val="1"/>
                <w:color w:val="auto"/>
                <w:w w:val="92"/>
              </w:rPr>
              <w:t>NYSE American</w:t>
            </w:r>
          </w:p>
        </w:tc>
      </w:tr>
    </w:tbl>
    <w:p>
      <w:pPr>
        <w:spacing w:after="0" w:line="333" w:lineRule="exact"/>
        <w:rPr>
          <w:sz w:val="24"/>
          <w:szCs w:val="24"/>
          <w:color w:val="auto"/>
        </w:rPr>
      </w:pPr>
    </w:p>
    <w:p>
      <w:pPr>
        <w:spacing w:after="0" w:line="263"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520" w:hanging="359"/>
        <w:spacing w:after="0"/>
        <w:tabs>
          <w:tab w:leader="none" w:pos="5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44" w:lineRule="exact"/>
        <w:rPr>
          <w:rFonts w:ascii="Arial" w:cs="Arial" w:eastAsia="Arial" w:hAnsi="Arial"/>
          <w:sz w:val="22"/>
          <w:szCs w:val="22"/>
          <w:color w:val="auto"/>
        </w:rPr>
      </w:pPr>
    </w:p>
    <w:p>
      <w:pPr>
        <w:ind w:left="520" w:hanging="359"/>
        <w:spacing w:after="0"/>
        <w:tabs>
          <w:tab w:leader="none" w:pos="5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44" w:lineRule="exact"/>
        <w:rPr>
          <w:rFonts w:ascii="Arial" w:cs="Arial" w:eastAsia="Arial" w:hAnsi="Arial"/>
          <w:sz w:val="22"/>
          <w:szCs w:val="22"/>
          <w:color w:val="auto"/>
        </w:rPr>
      </w:pPr>
    </w:p>
    <w:p>
      <w:pPr>
        <w:ind w:left="520" w:hanging="359"/>
        <w:spacing w:after="0"/>
        <w:tabs>
          <w:tab w:leader="none" w:pos="5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55" w:lineRule="exact"/>
        <w:rPr>
          <w:rFonts w:ascii="Arial" w:cs="Arial" w:eastAsia="Arial" w:hAnsi="Arial"/>
          <w:sz w:val="21"/>
          <w:szCs w:val="21"/>
          <w:color w:val="auto"/>
        </w:rPr>
      </w:pPr>
    </w:p>
    <w:p>
      <w:pPr>
        <w:ind w:left="520" w:hanging="359"/>
        <w:spacing w:after="0"/>
        <w:tabs>
          <w:tab w:leader="none" w:pos="5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380" w:lineRule="exact"/>
        <w:rPr>
          <w:sz w:val="24"/>
          <w:szCs w:val="24"/>
          <w:color w:val="auto"/>
        </w:rPr>
      </w:pPr>
    </w:p>
    <w:p>
      <w:pPr>
        <w:ind w:right="340"/>
        <w:spacing w:after="0" w:line="343"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(17 CFR §230.405) or Rule 12b-2 of the Securities Exchange Act of 1934 (17 CFR §240.12b-2).</w:t>
      </w:r>
    </w:p>
    <w:p>
      <w:pPr>
        <w:sectPr>
          <w:pgSz w:w="11900" w:h="16838" w:orient="portrait"/>
          <w:cols w:equalWidth="0" w:num="1">
            <w:col w:w="11200"/>
          </w:cols>
          <w:pgMar w:left="320" w:top="1003" w:right="379" w:bottom="1440" w:gutter="0" w:footer="0" w:header="0"/>
        </w:sectPr>
      </w:pPr>
    </w:p>
    <w:bookmarkStart w:id="1" w:name="page2"/>
    <w:bookmarkEnd w:id="1"/>
    <w:p>
      <w:pPr>
        <w:ind w:left="864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321" w:lineRule="exact"/>
        <w:rPr>
          <w:sz w:val="20"/>
          <w:szCs w:val="20"/>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ectPr>
          <w:pgSz w:w="11900" w:h="16838" w:orient="portrait"/>
          <w:cols w:equalWidth="0" w:num="1">
            <w:col w:w="11240"/>
          </w:cols>
          <w:pgMar w:left="320" w:top="86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5.07 Submission of Matters to a Vote of Security Holders</w:t>
      </w:r>
    </w:p>
    <w:p>
      <w:pPr>
        <w:spacing w:after="0" w:line="334" w:lineRule="exact"/>
        <w:rPr>
          <w:sz w:val="20"/>
          <w:szCs w:val="20"/>
          <w:color w:val="auto"/>
        </w:rPr>
      </w:pPr>
    </w:p>
    <w:p>
      <w:pPr>
        <w:jc w:val="both"/>
        <w:ind w:firstLine="467"/>
        <w:spacing w:after="0" w:line="253" w:lineRule="auto"/>
        <w:rPr>
          <w:sz w:val="20"/>
          <w:szCs w:val="20"/>
          <w:color w:val="auto"/>
        </w:rPr>
      </w:pPr>
      <w:r>
        <w:rPr>
          <w:rFonts w:ascii="Arial" w:cs="Arial" w:eastAsia="Arial" w:hAnsi="Arial"/>
          <w:sz w:val="22"/>
          <w:szCs w:val="22"/>
          <w:color w:val="auto"/>
        </w:rPr>
        <w:t>Globalstar, Inc. (the "Company") held its Annual Meeting of Stockholders on June 16, 2020, at which 1,576,466,065 shares were represented in person or by proxy. The Company submitted three matters to the vote of stockholders. A summary of the matters voted upon by stockholders is set forth below.</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1. Stockholders elected both of the two nominees for Class B director to serve for a term to expire at the 2023 Annual Meeting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Stockholders by the following votes:</w:t>
      </w:r>
    </w:p>
    <w:p>
      <w:pPr>
        <w:spacing w:after="0" w:line="95" w:lineRule="exact"/>
        <w:rPr>
          <w:sz w:val="20"/>
          <w:szCs w:val="20"/>
          <w:color w:val="auto"/>
        </w:rPr>
      </w:pPr>
    </w:p>
    <w:tbl>
      <w:tblPr>
        <w:tblLayout w:type="fixed"/>
        <w:tblInd w:w="70" w:type="dxa"/>
        <w:tblCellMar>
          <w:top w:w="0" w:type="dxa"/>
          <w:left w:w="0" w:type="dxa"/>
          <w:bottom w:w="0" w:type="dxa"/>
          <w:right w:w="0" w:type="dxa"/>
        </w:tblCellMar>
      </w:tblPr>
      <w:tr>
        <w:trPr>
          <w:trHeight w:val="304"/>
        </w:trPr>
        <w:tc>
          <w:tcPr>
            <w:tcW w:w="23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Name</w:t>
            </w:r>
          </w:p>
        </w:tc>
        <w:tc>
          <w:tcPr>
            <w:tcW w:w="2220" w:type="dxa"/>
            <w:vAlign w:val="bottom"/>
            <w:tcBorders>
              <w:top w:val="single" w:sz="8" w:color="auto"/>
              <w:bottom w:val="single" w:sz="8" w:color="auto"/>
              <w:right w:val="single" w:sz="8" w:color="auto"/>
            </w:tcBorders>
          </w:tcPr>
          <w:p>
            <w:pPr>
              <w:jc w:val="right"/>
              <w:ind w:right="592"/>
              <w:spacing w:after="0"/>
              <w:rPr>
                <w:sz w:val="20"/>
                <w:szCs w:val="20"/>
                <w:color w:val="auto"/>
              </w:rPr>
            </w:pPr>
            <w:r>
              <w:rPr>
                <w:rFonts w:ascii="Arial" w:cs="Arial" w:eastAsia="Arial" w:hAnsi="Arial"/>
                <w:sz w:val="22"/>
                <w:szCs w:val="22"/>
                <w:b w:val="1"/>
                <w:bCs w:val="1"/>
                <w:color w:val="auto"/>
              </w:rPr>
              <w:t>Votes For</w:t>
            </w:r>
          </w:p>
        </w:tc>
        <w:tc>
          <w:tcPr>
            <w:tcW w:w="2200" w:type="dxa"/>
            <w:vAlign w:val="bottom"/>
            <w:tcBorders>
              <w:top w:val="single" w:sz="8" w:color="auto"/>
              <w:bottom w:val="single" w:sz="8" w:color="auto"/>
              <w:right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Votes Against</w:t>
            </w:r>
          </w:p>
        </w:tc>
        <w:tc>
          <w:tcPr>
            <w:tcW w:w="2200" w:type="dxa"/>
            <w:vAlign w:val="bottom"/>
            <w:tcBorders>
              <w:top w:val="single" w:sz="8" w:color="auto"/>
              <w:bottom w:val="single" w:sz="8" w:color="auto"/>
              <w:right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Abstentions</w:t>
            </w:r>
          </w:p>
        </w:tc>
        <w:tc>
          <w:tcPr>
            <w:tcW w:w="2200" w:type="dxa"/>
            <w:vAlign w:val="bottom"/>
            <w:tcBorders>
              <w:top w:val="single" w:sz="8" w:color="auto"/>
              <w:bottom w:val="single" w:sz="8" w:color="auto"/>
              <w:right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Broker Non-Votes</w:t>
            </w:r>
          </w:p>
        </w:tc>
      </w:tr>
      <w:tr>
        <w:trPr>
          <w:trHeight w:val="290"/>
        </w:trPr>
        <w:tc>
          <w:tcPr>
            <w:tcW w:w="23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2"/>
                <w:szCs w:val="22"/>
                <w:color w:val="auto"/>
              </w:rPr>
              <w:t>James F. Lynch</w:t>
            </w:r>
          </w:p>
        </w:tc>
        <w:tc>
          <w:tcPr>
            <w:tcW w:w="222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Arial" w:cs="Arial" w:eastAsia="Arial" w:hAnsi="Arial"/>
                <w:sz w:val="22"/>
                <w:szCs w:val="22"/>
                <w:color w:val="auto"/>
              </w:rPr>
              <w:t>1,259,244,891</w:t>
            </w:r>
          </w:p>
        </w:tc>
        <w:tc>
          <w:tcPr>
            <w:tcW w:w="220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Arial" w:cs="Arial" w:eastAsia="Arial" w:hAnsi="Arial"/>
                <w:sz w:val="22"/>
                <w:szCs w:val="22"/>
                <w:color w:val="auto"/>
              </w:rPr>
              <w:t>136,087,352</w:t>
            </w:r>
          </w:p>
        </w:tc>
        <w:tc>
          <w:tcPr>
            <w:tcW w:w="2200" w:type="dxa"/>
            <w:vAlign w:val="bottom"/>
            <w:tcBorders>
              <w:bottom w:val="single" w:sz="8" w:color="auto"/>
              <w:right w:val="single" w:sz="8" w:color="auto"/>
            </w:tcBorders>
            <w:shd w:val="clear" w:color="auto" w:fill="CCEEFF"/>
          </w:tcPr>
          <w:p>
            <w:pPr>
              <w:jc w:val="right"/>
              <w:ind w:right="72"/>
              <w:spacing w:after="0"/>
              <w:rPr>
                <w:sz w:val="20"/>
                <w:szCs w:val="20"/>
                <w:color w:val="auto"/>
              </w:rPr>
            </w:pPr>
            <w:r>
              <w:rPr>
                <w:rFonts w:ascii="Arial" w:cs="Arial" w:eastAsia="Arial" w:hAnsi="Arial"/>
                <w:sz w:val="22"/>
                <w:szCs w:val="22"/>
                <w:color w:val="auto"/>
              </w:rPr>
              <w:t>765,694</w:t>
            </w:r>
          </w:p>
        </w:tc>
        <w:tc>
          <w:tcPr>
            <w:tcW w:w="2200" w:type="dxa"/>
            <w:vAlign w:val="bottom"/>
            <w:tcBorders>
              <w:bottom w:val="single" w:sz="8" w:color="auto"/>
              <w:right w:val="single" w:sz="8" w:color="auto"/>
            </w:tcBorders>
            <w:shd w:val="clear" w:color="auto" w:fill="CCEEFF"/>
          </w:tcPr>
          <w:p>
            <w:pPr>
              <w:jc w:val="right"/>
              <w:ind w:right="72"/>
              <w:spacing w:after="0"/>
              <w:rPr>
                <w:sz w:val="20"/>
                <w:szCs w:val="20"/>
                <w:color w:val="auto"/>
              </w:rPr>
            </w:pPr>
            <w:r>
              <w:rPr>
                <w:rFonts w:ascii="Arial" w:cs="Arial" w:eastAsia="Arial" w:hAnsi="Arial"/>
                <w:sz w:val="22"/>
                <w:szCs w:val="22"/>
                <w:color w:val="auto"/>
              </w:rPr>
              <w:t>180,368,128</w:t>
            </w:r>
          </w:p>
        </w:tc>
      </w:tr>
      <w:tr>
        <w:trPr>
          <w:trHeight w:val="291"/>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Timothy E. Taylor</w:t>
            </w:r>
          </w:p>
        </w:tc>
        <w:tc>
          <w:tcPr>
            <w:tcW w:w="222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22"/>
                <w:szCs w:val="22"/>
                <w:color w:val="auto"/>
              </w:rPr>
              <w:t>1,272,324,258</w:t>
            </w:r>
          </w:p>
        </w:tc>
        <w:tc>
          <w:tcPr>
            <w:tcW w:w="22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22"/>
                <w:szCs w:val="22"/>
                <w:color w:val="auto"/>
              </w:rPr>
              <w:t>123,010,801</w:t>
            </w:r>
          </w:p>
        </w:tc>
        <w:tc>
          <w:tcPr>
            <w:tcW w:w="220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22"/>
                <w:szCs w:val="22"/>
                <w:color w:val="auto"/>
              </w:rPr>
              <w:t>762,878</w:t>
            </w:r>
          </w:p>
        </w:tc>
        <w:tc>
          <w:tcPr>
            <w:tcW w:w="220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22"/>
                <w:szCs w:val="22"/>
                <w:color w:val="auto"/>
              </w:rPr>
              <w:t>180,368,128</w:t>
            </w:r>
          </w:p>
        </w:tc>
      </w:tr>
    </w:tbl>
    <w:p>
      <w:pPr>
        <w:spacing w:after="0" w:line="31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2. Stockholders ratified the appointment of Ernst &amp; Young LLP as the Company’s independent registered accounting firm for the fiscal year ending December 31, 2020 by the following votes:</w:t>
      </w:r>
    </w:p>
    <w:p>
      <w:pPr>
        <w:spacing w:after="0" w:line="68" w:lineRule="exact"/>
        <w:rPr>
          <w:sz w:val="20"/>
          <w:szCs w:val="20"/>
          <w:color w:val="auto"/>
        </w:rPr>
      </w:pPr>
    </w:p>
    <w:tbl>
      <w:tblPr>
        <w:tblLayout w:type="fixed"/>
        <w:tblInd w:w="1010" w:type="dxa"/>
        <w:tblCellMar>
          <w:top w:w="0" w:type="dxa"/>
          <w:left w:w="0" w:type="dxa"/>
          <w:bottom w:w="0" w:type="dxa"/>
          <w:right w:w="0" w:type="dxa"/>
        </w:tblCellMar>
      </w:tblPr>
      <w:tr>
        <w:trPr>
          <w:trHeight w:val="304"/>
        </w:trPr>
        <w:tc>
          <w:tcPr>
            <w:tcW w:w="2340" w:type="dxa"/>
            <w:vAlign w:val="bottom"/>
            <w:tcBorders>
              <w:top w:val="single" w:sz="8" w:color="auto"/>
              <w:left w:val="single" w:sz="8" w:color="auto"/>
              <w:bottom w:val="single" w:sz="8" w:color="auto"/>
              <w:right w:val="single" w:sz="8" w:color="auto"/>
            </w:tcBorders>
          </w:tcPr>
          <w:p>
            <w:pPr>
              <w:jc w:val="right"/>
              <w:ind w:right="612"/>
              <w:spacing w:after="0"/>
              <w:rPr>
                <w:sz w:val="20"/>
                <w:szCs w:val="20"/>
                <w:color w:val="auto"/>
              </w:rPr>
            </w:pPr>
            <w:r>
              <w:rPr>
                <w:rFonts w:ascii="Arial" w:cs="Arial" w:eastAsia="Arial" w:hAnsi="Arial"/>
                <w:sz w:val="22"/>
                <w:szCs w:val="22"/>
                <w:b w:val="1"/>
                <w:bCs w:val="1"/>
                <w:color w:val="auto"/>
              </w:rPr>
              <w:t>Votes For</w:t>
            </w:r>
          </w:p>
        </w:tc>
        <w:tc>
          <w:tcPr>
            <w:tcW w:w="2340" w:type="dxa"/>
            <w:vAlign w:val="bottom"/>
            <w:tcBorders>
              <w:top w:val="single" w:sz="8" w:color="auto"/>
              <w:bottom w:val="single" w:sz="8" w:color="auto"/>
              <w:right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Votes Against</w:t>
            </w:r>
          </w:p>
        </w:tc>
        <w:tc>
          <w:tcPr>
            <w:tcW w:w="2300" w:type="dxa"/>
            <w:vAlign w:val="bottom"/>
            <w:tcBorders>
              <w:top w:val="single" w:sz="8" w:color="auto"/>
              <w:bottom w:val="single" w:sz="8" w:color="auto"/>
              <w:right w:val="single" w:sz="8" w:color="auto"/>
            </w:tcBorders>
          </w:tcPr>
          <w:p>
            <w:pPr>
              <w:jc w:val="right"/>
              <w:ind w:right="512"/>
              <w:spacing w:after="0"/>
              <w:rPr>
                <w:sz w:val="20"/>
                <w:szCs w:val="20"/>
                <w:color w:val="auto"/>
              </w:rPr>
            </w:pPr>
            <w:r>
              <w:rPr>
                <w:rFonts w:ascii="Arial" w:cs="Arial" w:eastAsia="Arial" w:hAnsi="Arial"/>
                <w:sz w:val="22"/>
                <w:szCs w:val="22"/>
                <w:b w:val="1"/>
                <w:bCs w:val="1"/>
                <w:color w:val="auto"/>
              </w:rPr>
              <w:t>Abstentions</w:t>
            </w:r>
          </w:p>
        </w:tc>
        <w:tc>
          <w:tcPr>
            <w:tcW w:w="230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22"/>
                <w:szCs w:val="22"/>
                <w:b w:val="1"/>
                <w:bCs w:val="1"/>
                <w:color w:val="auto"/>
              </w:rPr>
              <w:t>Broker Non-Votes</w:t>
            </w:r>
          </w:p>
        </w:tc>
      </w:tr>
      <w:tr>
        <w:trPr>
          <w:trHeight w:val="290"/>
        </w:trPr>
        <w:tc>
          <w:tcPr>
            <w:tcW w:w="2340" w:type="dxa"/>
            <w:vAlign w:val="bottom"/>
            <w:tcBorders>
              <w:left w:val="single" w:sz="8" w:color="auto"/>
              <w:bottom w:val="single" w:sz="8" w:color="auto"/>
              <w:right w:val="single" w:sz="8" w:color="auto"/>
            </w:tcBorders>
            <w:shd w:val="clear" w:color="auto" w:fill="CCEEFF"/>
          </w:tcPr>
          <w:p>
            <w:pPr>
              <w:jc w:val="right"/>
              <w:ind w:right="72"/>
              <w:spacing w:after="0"/>
              <w:rPr>
                <w:sz w:val="20"/>
                <w:szCs w:val="20"/>
                <w:color w:val="auto"/>
              </w:rPr>
            </w:pPr>
            <w:r>
              <w:rPr>
                <w:rFonts w:ascii="Arial" w:cs="Arial" w:eastAsia="Arial" w:hAnsi="Arial"/>
                <w:sz w:val="22"/>
                <w:szCs w:val="22"/>
                <w:color w:val="auto"/>
              </w:rPr>
              <w:t>1,571,732,061</w:t>
            </w:r>
          </w:p>
        </w:tc>
        <w:tc>
          <w:tcPr>
            <w:tcW w:w="2340" w:type="dxa"/>
            <w:vAlign w:val="bottom"/>
            <w:tcBorders>
              <w:bottom w:val="single" w:sz="8" w:color="auto"/>
              <w:right w:val="single" w:sz="8" w:color="auto"/>
            </w:tcBorders>
            <w:shd w:val="clear" w:color="auto" w:fill="CCEEFF"/>
          </w:tcPr>
          <w:p>
            <w:pPr>
              <w:jc w:val="right"/>
              <w:ind w:right="72"/>
              <w:spacing w:after="0"/>
              <w:rPr>
                <w:sz w:val="20"/>
                <w:szCs w:val="20"/>
                <w:color w:val="auto"/>
              </w:rPr>
            </w:pPr>
            <w:r>
              <w:rPr>
                <w:rFonts w:ascii="Arial" w:cs="Arial" w:eastAsia="Arial" w:hAnsi="Arial"/>
                <w:sz w:val="22"/>
                <w:szCs w:val="22"/>
                <w:color w:val="auto"/>
              </w:rPr>
              <w:t>3,364,734</w:t>
            </w:r>
          </w:p>
        </w:tc>
        <w:tc>
          <w:tcPr>
            <w:tcW w:w="230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22"/>
                <w:szCs w:val="22"/>
                <w:color w:val="auto"/>
              </w:rPr>
              <w:t>1,369,270</w:t>
            </w:r>
          </w:p>
        </w:tc>
        <w:tc>
          <w:tcPr>
            <w:tcW w:w="2300" w:type="dxa"/>
            <w:vAlign w:val="bottom"/>
            <w:tcBorders>
              <w:bottom w:val="single" w:sz="8" w:color="auto"/>
              <w:right w:val="single" w:sz="8" w:color="auto"/>
            </w:tcBorders>
            <w:shd w:val="clear" w:color="auto" w:fill="CCEEFF"/>
          </w:tcPr>
          <w:p>
            <w:pPr>
              <w:ind w:left="1920"/>
              <w:spacing w:after="0"/>
              <w:rPr>
                <w:sz w:val="20"/>
                <w:szCs w:val="20"/>
                <w:color w:val="auto"/>
              </w:rPr>
            </w:pPr>
            <w:r>
              <w:rPr>
                <w:rFonts w:ascii="Arial" w:cs="Arial" w:eastAsia="Arial" w:hAnsi="Arial"/>
                <w:sz w:val="22"/>
                <w:szCs w:val="22"/>
                <w:color w:val="auto"/>
              </w:rPr>
              <w:t>—</w:t>
            </w:r>
          </w:p>
        </w:tc>
      </w:tr>
    </w:tbl>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3. Stockholders approved the compensation of the Company's named executive officers by the following votes:</w:t>
      </w:r>
    </w:p>
    <w:p>
      <w:pPr>
        <w:spacing w:after="0" w:line="99" w:lineRule="exact"/>
        <w:rPr>
          <w:sz w:val="20"/>
          <w:szCs w:val="20"/>
          <w:color w:val="auto"/>
        </w:rPr>
      </w:pPr>
    </w:p>
    <w:tbl>
      <w:tblPr>
        <w:tblLayout w:type="fixed"/>
        <w:tblInd w:w="1010" w:type="dxa"/>
        <w:tblCellMar>
          <w:top w:w="0" w:type="dxa"/>
          <w:left w:w="0" w:type="dxa"/>
          <w:bottom w:w="0" w:type="dxa"/>
          <w:right w:w="0" w:type="dxa"/>
        </w:tblCellMar>
      </w:tblPr>
      <w:tr>
        <w:trPr>
          <w:trHeight w:val="304"/>
        </w:trPr>
        <w:tc>
          <w:tcPr>
            <w:tcW w:w="2340" w:type="dxa"/>
            <w:vAlign w:val="bottom"/>
            <w:tcBorders>
              <w:top w:val="single" w:sz="8" w:color="auto"/>
              <w:left w:val="single" w:sz="8" w:color="auto"/>
              <w:bottom w:val="single" w:sz="8" w:color="auto"/>
              <w:right w:val="single" w:sz="8" w:color="auto"/>
            </w:tcBorders>
          </w:tcPr>
          <w:p>
            <w:pPr>
              <w:jc w:val="right"/>
              <w:ind w:right="612"/>
              <w:spacing w:after="0"/>
              <w:rPr>
                <w:sz w:val="20"/>
                <w:szCs w:val="20"/>
                <w:color w:val="auto"/>
              </w:rPr>
            </w:pPr>
            <w:r>
              <w:rPr>
                <w:rFonts w:ascii="Arial" w:cs="Arial" w:eastAsia="Arial" w:hAnsi="Arial"/>
                <w:sz w:val="22"/>
                <w:szCs w:val="22"/>
                <w:b w:val="1"/>
                <w:bCs w:val="1"/>
                <w:color w:val="auto"/>
              </w:rPr>
              <w:t>Votes For</w:t>
            </w:r>
          </w:p>
        </w:tc>
        <w:tc>
          <w:tcPr>
            <w:tcW w:w="2340" w:type="dxa"/>
            <w:vAlign w:val="bottom"/>
            <w:tcBorders>
              <w:top w:val="single" w:sz="8" w:color="auto"/>
              <w:bottom w:val="single" w:sz="8" w:color="auto"/>
              <w:right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Votes Against</w:t>
            </w:r>
          </w:p>
        </w:tc>
        <w:tc>
          <w:tcPr>
            <w:tcW w:w="2300" w:type="dxa"/>
            <w:vAlign w:val="bottom"/>
            <w:tcBorders>
              <w:top w:val="single" w:sz="8" w:color="auto"/>
              <w:bottom w:val="single" w:sz="8" w:color="auto"/>
              <w:right w:val="single" w:sz="8" w:color="auto"/>
            </w:tcBorders>
          </w:tcPr>
          <w:p>
            <w:pPr>
              <w:jc w:val="right"/>
              <w:ind w:right="512"/>
              <w:spacing w:after="0"/>
              <w:rPr>
                <w:sz w:val="20"/>
                <w:szCs w:val="20"/>
                <w:color w:val="auto"/>
              </w:rPr>
            </w:pPr>
            <w:r>
              <w:rPr>
                <w:rFonts w:ascii="Arial" w:cs="Arial" w:eastAsia="Arial" w:hAnsi="Arial"/>
                <w:sz w:val="22"/>
                <w:szCs w:val="22"/>
                <w:b w:val="1"/>
                <w:bCs w:val="1"/>
                <w:color w:val="auto"/>
              </w:rPr>
              <w:t>Abstentions</w:t>
            </w:r>
          </w:p>
        </w:tc>
        <w:tc>
          <w:tcPr>
            <w:tcW w:w="2300" w:type="dxa"/>
            <w:vAlign w:val="bottom"/>
            <w:tcBorders>
              <w:top w:val="single" w:sz="8" w:color="auto"/>
              <w:bottom w:val="single" w:sz="8" w:color="auto"/>
              <w:right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Broker Non-Votes</w:t>
            </w:r>
          </w:p>
        </w:tc>
      </w:tr>
      <w:tr>
        <w:trPr>
          <w:trHeight w:val="291"/>
        </w:trPr>
        <w:tc>
          <w:tcPr>
            <w:tcW w:w="2340" w:type="dxa"/>
            <w:vAlign w:val="bottom"/>
            <w:tcBorders>
              <w:left w:val="single" w:sz="8" w:color="auto"/>
              <w:bottom w:val="single" w:sz="8" w:color="auto"/>
              <w:right w:val="single" w:sz="8" w:color="auto"/>
            </w:tcBorders>
            <w:shd w:val="clear" w:color="auto" w:fill="CCEEFF"/>
          </w:tcPr>
          <w:p>
            <w:pPr>
              <w:jc w:val="right"/>
              <w:ind w:right="72"/>
              <w:spacing w:after="0"/>
              <w:rPr>
                <w:sz w:val="20"/>
                <w:szCs w:val="20"/>
                <w:color w:val="auto"/>
              </w:rPr>
            </w:pPr>
            <w:r>
              <w:rPr>
                <w:rFonts w:ascii="Arial" w:cs="Arial" w:eastAsia="Arial" w:hAnsi="Arial"/>
                <w:sz w:val="22"/>
                <w:szCs w:val="22"/>
                <w:color w:val="auto"/>
              </w:rPr>
              <w:t>1,246,975,516</w:t>
            </w:r>
          </w:p>
        </w:tc>
        <w:tc>
          <w:tcPr>
            <w:tcW w:w="2340" w:type="dxa"/>
            <w:vAlign w:val="bottom"/>
            <w:tcBorders>
              <w:bottom w:val="single" w:sz="8" w:color="auto"/>
              <w:right w:val="single" w:sz="8" w:color="auto"/>
            </w:tcBorders>
            <w:shd w:val="clear" w:color="auto" w:fill="CCEEFF"/>
          </w:tcPr>
          <w:p>
            <w:pPr>
              <w:jc w:val="right"/>
              <w:ind w:right="72"/>
              <w:spacing w:after="0"/>
              <w:rPr>
                <w:sz w:val="20"/>
                <w:szCs w:val="20"/>
                <w:color w:val="auto"/>
              </w:rPr>
            </w:pPr>
            <w:r>
              <w:rPr>
                <w:rFonts w:ascii="Arial" w:cs="Arial" w:eastAsia="Arial" w:hAnsi="Arial"/>
                <w:sz w:val="22"/>
                <w:szCs w:val="22"/>
                <w:color w:val="auto"/>
              </w:rPr>
              <w:t>26,338,053</w:t>
            </w:r>
          </w:p>
        </w:tc>
        <w:tc>
          <w:tcPr>
            <w:tcW w:w="230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22"/>
                <w:szCs w:val="22"/>
                <w:color w:val="auto"/>
              </w:rPr>
              <w:t>122,784,368</w:t>
            </w:r>
          </w:p>
        </w:tc>
        <w:tc>
          <w:tcPr>
            <w:tcW w:w="2300" w:type="dxa"/>
            <w:vAlign w:val="bottom"/>
            <w:tcBorders>
              <w:bottom w:val="single" w:sz="8" w:color="auto"/>
              <w:right w:val="single" w:sz="8" w:color="auto"/>
            </w:tcBorders>
            <w:shd w:val="clear" w:color="auto" w:fill="CCEEFF"/>
          </w:tcPr>
          <w:p>
            <w:pPr>
              <w:jc w:val="right"/>
              <w:ind w:right="72"/>
              <w:spacing w:after="0"/>
              <w:rPr>
                <w:sz w:val="20"/>
                <w:szCs w:val="20"/>
                <w:color w:val="auto"/>
              </w:rPr>
            </w:pPr>
            <w:r>
              <w:rPr>
                <w:rFonts w:ascii="Arial" w:cs="Arial" w:eastAsia="Arial" w:hAnsi="Arial"/>
                <w:sz w:val="22"/>
                <w:szCs w:val="22"/>
                <w:color w:val="auto"/>
              </w:rPr>
              <w:t>180,368,128</w:t>
            </w:r>
          </w:p>
        </w:tc>
      </w:tr>
    </w:tbl>
    <w:p>
      <w:pPr>
        <w:sectPr>
          <w:pgSz w:w="11900" w:h="16838" w:orient="portrait"/>
          <w:cols w:equalWidth="0" w:num="1">
            <w:col w:w="11240"/>
          </w:cols>
          <w:pgMar w:left="320" w:top="895"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37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5"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GLOBALSTAR, INC.</w:t>
      </w:r>
    </w:p>
    <w:p>
      <w:pPr>
        <w:spacing w:after="0" w:line="200" w:lineRule="exact"/>
        <w:rPr>
          <w:sz w:val="20"/>
          <w:szCs w:val="20"/>
          <w:color w:val="auto"/>
        </w:rPr>
      </w:pPr>
    </w:p>
    <w:p>
      <w:pPr>
        <w:spacing w:after="0" w:line="290"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 David B. Kagan</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David B. Kagan</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 June 16, 2020</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2020-06-16T15:52:17Z</dcterms:created>
  <dcterms:modified xsi:type="dcterms:W3CDTF">2020-06-16T15:52:17Z</dcterms:modified>
</cp:coreProperties>
</file>